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176C9" w14:textId="686BD028" w:rsidR="0083137F" w:rsidRPr="00627D7E" w:rsidRDefault="0083137F" w:rsidP="004312E8">
      <w:pPr>
        <w:pStyle w:val="NormalWeb"/>
        <w:shd w:val="clear" w:color="auto" w:fill="FFFFFF"/>
        <w:tabs>
          <w:tab w:val="left" w:pos="4155"/>
          <w:tab w:val="center" w:pos="4890"/>
        </w:tabs>
        <w:spacing w:before="0" w:beforeAutospacing="0" w:after="0" w:afterAutospacing="0" w:line="276" w:lineRule="auto"/>
        <w:jc w:val="center"/>
        <w:rPr>
          <w:rFonts w:ascii="Century Gothic" w:hAnsi="Century Gothic" w:cs="Arial"/>
          <w:sz w:val="22"/>
          <w:szCs w:val="22"/>
          <w:lang w:val="es-CO" w:eastAsia="es-CO"/>
        </w:rPr>
      </w:pPr>
      <w:r w:rsidRPr="00627D7E">
        <w:rPr>
          <w:rFonts w:ascii="Century Gothic" w:hAnsi="Century Gothic" w:cs="Arial"/>
          <w:b/>
          <w:bCs/>
          <w:sz w:val="22"/>
          <w:szCs w:val="22"/>
          <w:lang w:val="es-CO"/>
        </w:rPr>
        <w:t xml:space="preserve">ACUERDO </w:t>
      </w:r>
      <w:r w:rsidR="00443617" w:rsidRPr="00627D7E">
        <w:rPr>
          <w:rFonts w:ascii="Century Gothic" w:hAnsi="Century Gothic" w:cs="Arial"/>
          <w:b/>
          <w:bCs/>
          <w:sz w:val="22"/>
          <w:szCs w:val="22"/>
          <w:lang w:val="es-CO"/>
        </w:rPr>
        <w:t>No.</w:t>
      </w:r>
      <w:r w:rsidRPr="00627D7E">
        <w:rPr>
          <w:rFonts w:ascii="Century Gothic" w:hAnsi="Century Gothic" w:cs="Arial"/>
          <w:b/>
          <w:bCs/>
          <w:sz w:val="22"/>
          <w:szCs w:val="22"/>
          <w:lang w:val="es-CO"/>
        </w:rPr>
        <w:t xml:space="preserve"> </w:t>
      </w:r>
      <w:r w:rsidR="004E5F1B" w:rsidRPr="00627D7E">
        <w:rPr>
          <w:rFonts w:ascii="Century Gothic" w:hAnsi="Century Gothic" w:cs="Arial"/>
          <w:b/>
          <w:bCs/>
          <w:sz w:val="22"/>
          <w:szCs w:val="22"/>
          <w:lang w:val="es-CO"/>
        </w:rPr>
        <w:t>00</w:t>
      </w:r>
      <w:r w:rsidR="00173F38" w:rsidRPr="00627D7E">
        <w:rPr>
          <w:rFonts w:ascii="Century Gothic" w:hAnsi="Century Gothic" w:cs="Arial"/>
          <w:b/>
          <w:bCs/>
          <w:sz w:val="22"/>
          <w:szCs w:val="22"/>
          <w:lang w:val="es-CO"/>
        </w:rPr>
        <w:t>3</w:t>
      </w:r>
      <w:r w:rsidRPr="00627D7E">
        <w:rPr>
          <w:rFonts w:ascii="Century Gothic" w:hAnsi="Century Gothic" w:cs="Arial"/>
          <w:b/>
          <w:bCs/>
          <w:sz w:val="22"/>
          <w:szCs w:val="22"/>
          <w:lang w:val="es-CO"/>
        </w:rPr>
        <w:t xml:space="preserve"> DE 202</w:t>
      </w:r>
      <w:r w:rsidR="006176C4" w:rsidRPr="00627D7E">
        <w:rPr>
          <w:rFonts w:ascii="Century Gothic" w:hAnsi="Century Gothic" w:cs="Arial"/>
          <w:b/>
          <w:bCs/>
          <w:sz w:val="22"/>
          <w:szCs w:val="22"/>
          <w:lang w:val="es-CO"/>
        </w:rPr>
        <w:t>6</w:t>
      </w:r>
    </w:p>
    <w:p w14:paraId="1446A8C8" w14:textId="52EA5319" w:rsidR="0083137F" w:rsidRPr="00627D7E" w:rsidRDefault="00315CA8" w:rsidP="004312E8">
      <w:pPr>
        <w:pStyle w:val="NormalWeb"/>
        <w:shd w:val="clear" w:color="auto" w:fill="FFFFFF"/>
        <w:spacing w:before="0" w:beforeAutospacing="0" w:after="0" w:afterAutospacing="0" w:line="276" w:lineRule="auto"/>
        <w:jc w:val="center"/>
        <w:rPr>
          <w:rFonts w:ascii="Century Gothic" w:hAnsi="Century Gothic" w:cs="Arial"/>
          <w:b/>
          <w:bCs/>
          <w:sz w:val="22"/>
          <w:szCs w:val="22"/>
          <w:lang w:val="es-CO"/>
        </w:rPr>
      </w:pPr>
      <w:r w:rsidRPr="00627D7E">
        <w:rPr>
          <w:rFonts w:ascii="Century Gothic" w:hAnsi="Century Gothic" w:cs="Arial"/>
          <w:b/>
          <w:bCs/>
          <w:sz w:val="22"/>
          <w:szCs w:val="22"/>
          <w:lang w:val="es-CO"/>
        </w:rPr>
        <w:t>(</w:t>
      </w:r>
      <w:r w:rsidR="00173F38" w:rsidRPr="00627D7E">
        <w:rPr>
          <w:rFonts w:ascii="Century Gothic" w:hAnsi="Century Gothic" w:cs="Arial"/>
          <w:b/>
          <w:bCs/>
          <w:sz w:val="22"/>
          <w:szCs w:val="22"/>
          <w:lang w:val="es-CO"/>
        </w:rPr>
        <w:t>27 DE JULIO</w:t>
      </w:r>
      <w:r w:rsidR="00443617" w:rsidRPr="00627D7E">
        <w:rPr>
          <w:rFonts w:ascii="Century Gothic" w:hAnsi="Century Gothic" w:cs="Arial"/>
          <w:b/>
          <w:bCs/>
          <w:sz w:val="22"/>
          <w:szCs w:val="22"/>
          <w:lang w:val="es-CO"/>
        </w:rPr>
        <w:t xml:space="preserve"> DE </w:t>
      </w:r>
      <w:r w:rsidR="0083137F" w:rsidRPr="00627D7E">
        <w:rPr>
          <w:rFonts w:ascii="Century Gothic" w:hAnsi="Century Gothic" w:cs="Arial"/>
          <w:b/>
          <w:bCs/>
          <w:sz w:val="22"/>
          <w:szCs w:val="22"/>
          <w:lang w:val="es-CO"/>
        </w:rPr>
        <w:t>202</w:t>
      </w:r>
      <w:r w:rsidR="006176C4" w:rsidRPr="00627D7E">
        <w:rPr>
          <w:rFonts w:ascii="Century Gothic" w:hAnsi="Century Gothic" w:cs="Arial"/>
          <w:b/>
          <w:bCs/>
          <w:sz w:val="22"/>
          <w:szCs w:val="22"/>
          <w:lang w:val="es-CO"/>
        </w:rPr>
        <w:t>6</w:t>
      </w:r>
      <w:r w:rsidR="0083137F" w:rsidRPr="00627D7E">
        <w:rPr>
          <w:rFonts w:ascii="Century Gothic" w:hAnsi="Century Gothic" w:cs="Arial"/>
          <w:b/>
          <w:bCs/>
          <w:sz w:val="22"/>
          <w:szCs w:val="22"/>
          <w:lang w:val="es-CO"/>
        </w:rPr>
        <w:t>)</w:t>
      </w:r>
    </w:p>
    <w:p w14:paraId="285A6F5C" w14:textId="77777777" w:rsidR="009C7497" w:rsidRPr="00627D7E" w:rsidRDefault="009C7497" w:rsidP="004312E8">
      <w:pPr>
        <w:pStyle w:val="NormalWeb"/>
        <w:shd w:val="clear" w:color="auto" w:fill="FFFFFF"/>
        <w:spacing w:before="0" w:beforeAutospacing="0" w:after="0" w:afterAutospacing="0" w:line="276" w:lineRule="auto"/>
        <w:jc w:val="center"/>
        <w:rPr>
          <w:rFonts w:ascii="Century Gothic" w:hAnsi="Century Gothic" w:cs="Arial"/>
          <w:sz w:val="22"/>
          <w:szCs w:val="22"/>
          <w:lang w:val="es-CO"/>
        </w:rPr>
      </w:pPr>
    </w:p>
    <w:p w14:paraId="32711FC4" w14:textId="3E4287AF" w:rsidR="00301F6C" w:rsidRPr="00627D7E" w:rsidRDefault="00173F38" w:rsidP="004312E8">
      <w:pPr>
        <w:spacing w:line="276" w:lineRule="auto"/>
        <w:jc w:val="center"/>
        <w:rPr>
          <w:rFonts w:ascii="Century Gothic" w:hAnsi="Century Gothic"/>
          <w:b/>
        </w:rPr>
      </w:pPr>
      <w:r w:rsidRPr="00627D7E">
        <w:rPr>
          <w:rFonts w:ascii="Century Gothic" w:eastAsia="Times New Roman" w:hAnsi="Century Gothic" w:cs="Arial"/>
          <w:b/>
          <w:bCs/>
          <w:lang w:eastAsia="es-ES"/>
        </w:rPr>
        <w:t>“POR MEDIO DEL CUAL SE APRUEBA LA MODIFICACIÓN Y ACTUALIZACIÓN DEL MANUAL ESPECÍFICO DE FUNCIONES Y DE COMPETENCIAS LABORALES DE LOS EMPLEOS DE LA PLANTA DE PERSONAL DEL INSTITUTO MUNICIPAL DE DEPORTES Y RECREACIÓN DE CAJICÁ Y SE DICTAN OTRAS DISPOSICIONES”</w:t>
      </w:r>
    </w:p>
    <w:p w14:paraId="2CB835AE" w14:textId="77777777" w:rsidR="00B01E71" w:rsidRDefault="00B01E71" w:rsidP="00627D7E">
      <w:pPr>
        <w:spacing w:line="276" w:lineRule="auto"/>
        <w:jc w:val="both"/>
        <w:rPr>
          <w:rFonts w:ascii="Century Gothic" w:hAnsi="Century Gothic"/>
          <w:bCs/>
        </w:rPr>
      </w:pPr>
    </w:p>
    <w:p w14:paraId="63C4F5AE" w14:textId="4F70BCBA" w:rsidR="00B01E71" w:rsidRDefault="007D25D1" w:rsidP="00627D7E">
      <w:pPr>
        <w:spacing w:line="276" w:lineRule="auto"/>
        <w:jc w:val="both"/>
        <w:rPr>
          <w:rFonts w:ascii="Century Gothic" w:hAnsi="Century Gothic"/>
          <w:bCs/>
        </w:rPr>
      </w:pPr>
      <w:r w:rsidRPr="007D25D1">
        <w:rPr>
          <w:rFonts w:ascii="Century Gothic" w:hAnsi="Century Gothic"/>
          <w:b/>
          <w:bCs/>
        </w:rPr>
        <w:t>LA JUNTA DIRECTIVA DEL INSTITUTO MUNICIPAL DE DEPORTES Y RECREACIÓN DE CAJICÁ</w:t>
      </w:r>
      <w:r>
        <w:rPr>
          <w:rFonts w:ascii="Century Gothic" w:hAnsi="Century Gothic"/>
          <w:b/>
          <w:bCs/>
        </w:rPr>
        <w:t xml:space="preserve">, </w:t>
      </w:r>
      <w:r w:rsidRPr="007D25D1">
        <w:rPr>
          <w:rFonts w:ascii="Century Gothic" w:hAnsi="Century Gothic"/>
          <w:b/>
          <w:bCs/>
        </w:rPr>
        <w:t>INSDEPORTES CAJICÁ</w:t>
      </w:r>
      <w:r>
        <w:rPr>
          <w:rFonts w:ascii="Century Gothic" w:hAnsi="Century Gothic"/>
          <w:b/>
          <w:bCs/>
        </w:rPr>
        <w:t>.</w:t>
      </w:r>
    </w:p>
    <w:p w14:paraId="09558C77" w14:textId="31F01E3E" w:rsidR="00627D7E" w:rsidRPr="00627D7E" w:rsidRDefault="00627D7E" w:rsidP="00627D7E">
      <w:pPr>
        <w:spacing w:line="276" w:lineRule="auto"/>
        <w:jc w:val="both"/>
        <w:rPr>
          <w:rFonts w:ascii="Century Gothic" w:hAnsi="Century Gothic"/>
          <w:bCs/>
        </w:rPr>
      </w:pPr>
      <w:r w:rsidRPr="00627D7E">
        <w:rPr>
          <w:rFonts w:ascii="Century Gothic" w:hAnsi="Century Gothic"/>
          <w:bCs/>
        </w:rPr>
        <w:t>En ejercicio de sus atribuciones constitucionales, legales y estatutarias, en especial las conferidas por los artículos 122, 123, 125 y 209 de la Constitución Política; la Ley 181 de 1995; la Ley 489 de 1998; la Ley 909 de 2004; el Decreto Ley 785 de 2005; el Decreto 1083 de 2015 y sus modificaciones; los Acuerdos Municipales 024 de 1996 y 011 de 1999; el Acuerdo de Junta Directiva 001 de 2004, modificado por el Acuerdo 001 de 2022; y demás normas concordantes,</w:t>
      </w:r>
    </w:p>
    <w:p w14:paraId="31FA5499" w14:textId="428E1A14" w:rsidR="00627D7E" w:rsidRPr="00B01E71" w:rsidRDefault="00627D7E" w:rsidP="00B01E71">
      <w:pPr>
        <w:pStyle w:val="Prrafodelista"/>
        <w:numPr>
          <w:ilvl w:val="0"/>
          <w:numId w:val="6"/>
        </w:numPr>
        <w:spacing w:line="276" w:lineRule="auto"/>
        <w:jc w:val="center"/>
        <w:rPr>
          <w:rFonts w:ascii="Century Gothic" w:hAnsi="Century Gothic"/>
          <w:b/>
        </w:rPr>
      </w:pPr>
      <w:r w:rsidRPr="00B01E71">
        <w:rPr>
          <w:rFonts w:ascii="Century Gothic" w:hAnsi="Century Gothic"/>
          <w:b/>
        </w:rPr>
        <w:t>CONSIDERANDO</w:t>
      </w:r>
    </w:p>
    <w:p w14:paraId="6B8C413A"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el artículo 122 de la Constitución Política dispone que no habrá empleo público que no tenga funciones detalladas en ley o reglamento, y que ningún servidor público entrará a ejercer su cargo sin prestar juramento de cumplir y defender la Constitución y desempeñar los deberes que le incumben.</w:t>
      </w:r>
    </w:p>
    <w:p w14:paraId="7EAF517E"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los artículos 123 y 209 de la Constitución Política establecen que los servidores públicos están al servicio del Estado y de la comunidad, y que la función administrativa debe desarrollarse con fundamento en los principios de igualdad, moralidad, eficacia, economía, celeridad, imparcialidad y publicidad.</w:t>
      </w:r>
    </w:p>
    <w:p w14:paraId="26D63FB1"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el artículo 19 de la Ley 909 de 2004 define el empleo público como el conjunto de funciones, tareas y responsabilidades asignadas a una persona y las competencias requeridas para llevarlas a cabo, y exige que su diseño contenga la descripción del contenido funcional y el perfil de competencias, incluidos los requisitos de estudio y experiencia.</w:t>
      </w:r>
    </w:p>
    <w:p w14:paraId="045638F4"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el Decreto Ley 785 de 2005 regula el sistema de nomenclatura, clasificación de empleos, funciones y requisitos generales de los cargos de las entidades territoriales, marco al cual debe sujetarse el Manual Específico de Funciones y de Competencias Laborales del Instituto.</w:t>
      </w:r>
    </w:p>
    <w:p w14:paraId="7AD39F56"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el artículo 2.2.2.6.1 del Decreto 1083 de 2015 dispone que los organismos y entidades deben expedir el Manual Específico de Funciones y de Competencias Laborales mediante resolución interna del jefe del organismo o entidad, previo adelantamiento de los estudios correspondientes por la unidad de personal o quien haga sus veces.</w:t>
      </w:r>
    </w:p>
    <w:p w14:paraId="23949703" w14:textId="77777777" w:rsidR="00627D7E" w:rsidRPr="00627D7E" w:rsidRDefault="00627D7E" w:rsidP="00627D7E">
      <w:pPr>
        <w:spacing w:line="276" w:lineRule="auto"/>
        <w:jc w:val="both"/>
        <w:rPr>
          <w:rFonts w:ascii="Century Gothic" w:hAnsi="Century Gothic"/>
          <w:bCs/>
        </w:rPr>
      </w:pPr>
      <w:commentRangeStart w:id="0"/>
      <w:r w:rsidRPr="00627D7E">
        <w:rPr>
          <w:rFonts w:ascii="Century Gothic" w:hAnsi="Century Gothic"/>
          <w:bCs/>
        </w:rPr>
        <w:lastRenderedPageBreak/>
        <w:t>Que, de conformidad con el parágrafo 3 del artículo 2.2.2.6.1 del Decreto 1083 de 2015, antes de la expedición del manual o de sus modificaciones debe surtirse su socialización con las organizaciones sindicales existentes en la entidad y garantizarse la publicación del proyecto en los términos del artículo 8 de la Ley 1437 de 2011.</w:t>
      </w:r>
      <w:commentRangeEnd w:id="0"/>
      <w:r w:rsidR="00CD36AE" w:rsidRPr="00627D7E">
        <w:rPr>
          <w:rStyle w:val="Refdecomentario"/>
          <w:rFonts w:ascii="Century Gothic" w:hAnsi="Century Gothic"/>
          <w:bCs/>
          <w:sz w:val="22"/>
          <w:szCs w:val="22"/>
        </w:rPr>
        <w:commentReference w:id="0"/>
      </w:r>
    </w:p>
    <w:p w14:paraId="16720FCE" w14:textId="77777777" w:rsidR="00627D7E" w:rsidRPr="00627D7E" w:rsidRDefault="00627D7E" w:rsidP="00627D7E">
      <w:pPr>
        <w:spacing w:line="276" w:lineRule="auto"/>
        <w:jc w:val="both"/>
        <w:rPr>
          <w:rFonts w:ascii="Century Gothic" w:hAnsi="Century Gothic"/>
          <w:bCs/>
        </w:rPr>
      </w:pPr>
      <w:commentRangeStart w:id="1"/>
      <w:r w:rsidRPr="00627D7E">
        <w:rPr>
          <w:rFonts w:ascii="Century Gothic" w:hAnsi="Century Gothic"/>
          <w:bCs/>
        </w:rPr>
        <w:t>Que mediante Acuerdo de Junta Directiva 003 del 22 de marzo de 2023 se aprobó la modificación y actualización del Manual Específico de Funciones, Requisitos y Competencias Laborales, posteriormente contenido en la Resolución 032 de 2023.</w:t>
      </w:r>
      <w:commentRangeEnd w:id="1"/>
      <w:r w:rsidR="00AB7509" w:rsidRPr="00627D7E">
        <w:rPr>
          <w:rStyle w:val="Refdecomentario"/>
          <w:rFonts w:ascii="Century Gothic" w:hAnsi="Century Gothic"/>
          <w:bCs/>
          <w:sz w:val="22"/>
          <w:szCs w:val="22"/>
        </w:rPr>
        <w:commentReference w:id="1"/>
      </w:r>
    </w:p>
    <w:p w14:paraId="30D510C7"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el Instituto adelantó durante la vigencia 2026 un proceso técnico de diagnóstico y actualización del manual, el cual comprendió revisión normativa, análisis documental, levantamiento de información funcional, contraste entre funciones formales y actividades efectivamente desarrolladas, validación de perfiles y formulación de recomendaciones de mejora institucional.</w:t>
      </w:r>
    </w:p>
    <w:p w14:paraId="78F16BF2" w14:textId="5B4DFB57" w:rsidR="00627D7E" w:rsidRPr="00627D7E" w:rsidRDefault="00627D7E" w:rsidP="00627D7E">
      <w:pPr>
        <w:spacing w:line="276" w:lineRule="auto"/>
        <w:jc w:val="both"/>
        <w:rPr>
          <w:rFonts w:ascii="Century Gothic" w:hAnsi="Century Gothic"/>
          <w:bCs/>
        </w:rPr>
      </w:pPr>
      <w:r w:rsidRPr="00627D7E">
        <w:rPr>
          <w:rFonts w:ascii="Century Gothic" w:hAnsi="Century Gothic"/>
          <w:bCs/>
        </w:rPr>
        <w:t xml:space="preserve">Que el estudio técnico identificó la necesidad de armonizar los propósitos principales, funciones esenciales, conocimientos básicos, competencias comportamentales y requisitos de estudio y experiencia de los seis (6) empleos que conforman la planta global del Instituto, con su estructura orgánica, sus procesos institucionales, el Modelo Integrado de Planeación y Gestión </w:t>
      </w:r>
      <w:r w:rsidR="00560542">
        <w:rPr>
          <w:rFonts w:ascii="Century Gothic" w:hAnsi="Century Gothic"/>
          <w:bCs/>
        </w:rPr>
        <w:t>(</w:t>
      </w:r>
      <w:r w:rsidRPr="00627D7E">
        <w:rPr>
          <w:rFonts w:ascii="Century Gothic" w:hAnsi="Century Gothic"/>
          <w:bCs/>
        </w:rPr>
        <w:t>MIPG</w:t>
      </w:r>
      <w:r w:rsidR="00560542">
        <w:rPr>
          <w:rFonts w:ascii="Century Gothic" w:hAnsi="Century Gothic"/>
          <w:bCs/>
        </w:rPr>
        <w:t xml:space="preserve">) </w:t>
      </w:r>
      <w:r w:rsidRPr="00627D7E">
        <w:rPr>
          <w:rFonts w:ascii="Century Gothic" w:hAnsi="Century Gothic"/>
          <w:bCs/>
        </w:rPr>
        <w:t>y las necesidades actuales del servicio.</w:t>
      </w:r>
    </w:p>
    <w:p w14:paraId="60C711F5"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la actualización propuesta preserva la correspondencia entre cada empleo y la planta de personal vigente y, por sí misma, no crea, suprime ni fusiona empleos, no modifica asignaciones básicas ni altera la planta de personal, asuntos que requieren decisión y soporte técnico propios conforme al ordenamiento jurídico.</w:t>
      </w:r>
    </w:p>
    <w:p w14:paraId="5008C556" w14:textId="77777777" w:rsidR="00627D7E" w:rsidRDefault="00627D7E" w:rsidP="00627D7E">
      <w:pPr>
        <w:spacing w:line="276" w:lineRule="auto"/>
        <w:jc w:val="both"/>
        <w:rPr>
          <w:rFonts w:ascii="Century Gothic" w:hAnsi="Century Gothic"/>
          <w:bCs/>
        </w:rPr>
      </w:pPr>
      <w:r w:rsidRPr="00627D7E">
        <w:rPr>
          <w:rFonts w:ascii="Century Gothic" w:hAnsi="Century Gothic"/>
          <w:bCs/>
        </w:rPr>
        <w:t>Que los documentos técnicos que sustentan la actualización comprenden el diagnóstico institucional, la matriz funcional consolidada, las fichas de los empleos, el análisis de requisitos y competencias, las constancias de publicación y socialización y el proyecto consolidado del Manual Específico de Funciones, Requisitos y Competencias Laborales 2026.</w:t>
      </w:r>
    </w:p>
    <w:p w14:paraId="2FA49D08" w14:textId="2611F2E5" w:rsidR="003634CF" w:rsidRPr="00627D7E" w:rsidRDefault="003634CF" w:rsidP="00627D7E">
      <w:pPr>
        <w:spacing w:line="276" w:lineRule="auto"/>
        <w:jc w:val="both"/>
        <w:rPr>
          <w:rFonts w:ascii="Century Gothic" w:hAnsi="Century Gothic"/>
          <w:bCs/>
        </w:rPr>
      </w:pPr>
      <w:commentRangeStart w:id="2"/>
      <w:r>
        <w:rPr>
          <w:rFonts w:ascii="Century Gothic" w:hAnsi="Century Gothic"/>
          <w:bCs/>
        </w:rPr>
        <w:t>XXXX</w:t>
      </w:r>
      <w:commentRangeEnd w:id="2"/>
      <w:r w:rsidRPr="00627D7E">
        <w:rPr>
          <w:rStyle w:val="Refdecomentario"/>
          <w:rFonts w:ascii="Century Gothic" w:hAnsi="Century Gothic"/>
          <w:bCs/>
          <w:sz w:val="22"/>
          <w:szCs w:val="22"/>
        </w:rPr>
        <w:commentReference w:id="2"/>
      </w:r>
    </w:p>
    <w:p w14:paraId="1083708A" w14:textId="441279CB" w:rsidR="00627D7E" w:rsidRPr="00627D7E" w:rsidRDefault="00627D7E" w:rsidP="00627D7E">
      <w:pPr>
        <w:spacing w:line="276" w:lineRule="auto"/>
        <w:jc w:val="both"/>
        <w:rPr>
          <w:rFonts w:ascii="Century Gothic" w:hAnsi="Century Gothic"/>
          <w:bCs/>
        </w:rPr>
      </w:pPr>
      <w:r w:rsidRPr="00627D7E">
        <w:rPr>
          <w:rFonts w:ascii="Century Gothic" w:hAnsi="Century Gothic"/>
          <w:bCs/>
        </w:rPr>
        <w:t xml:space="preserve">Que la Junta Directiva, en sesión celebrada el </w:t>
      </w:r>
      <w:r w:rsidR="00D953CE">
        <w:rPr>
          <w:rFonts w:ascii="Century Gothic" w:hAnsi="Century Gothic"/>
          <w:bCs/>
        </w:rPr>
        <w:t>27 de julio de 2026</w:t>
      </w:r>
      <w:r w:rsidRPr="00627D7E">
        <w:rPr>
          <w:rFonts w:ascii="Century Gothic" w:hAnsi="Century Gothic"/>
          <w:bCs/>
        </w:rPr>
        <w:t xml:space="preserve"> Acta N.°</w:t>
      </w:r>
      <w:r w:rsidR="00D953CE">
        <w:rPr>
          <w:rFonts w:ascii="Century Gothic" w:hAnsi="Century Gothic"/>
          <w:bCs/>
        </w:rPr>
        <w:t xml:space="preserve"> 003 de2026</w:t>
      </w:r>
      <w:r w:rsidRPr="00627D7E">
        <w:rPr>
          <w:rFonts w:ascii="Century Gothic" w:hAnsi="Century Gothic"/>
          <w:bCs/>
        </w:rPr>
        <w:t>, analizó los soportes técnicos y jurídicos y aprobó la actualización integral del Manual Específico de Funciones, Requisitos y Competencias Laborales de INSDEPORTES Cajicá.</w:t>
      </w:r>
    </w:p>
    <w:p w14:paraId="1D81052C" w14:textId="77777777" w:rsidR="00627D7E" w:rsidRPr="00627D7E" w:rsidRDefault="00627D7E" w:rsidP="00627D7E">
      <w:pPr>
        <w:spacing w:line="276" w:lineRule="auto"/>
        <w:jc w:val="both"/>
        <w:rPr>
          <w:rFonts w:ascii="Century Gothic" w:hAnsi="Century Gothic"/>
          <w:bCs/>
        </w:rPr>
      </w:pPr>
      <w:r w:rsidRPr="00627D7E">
        <w:rPr>
          <w:rFonts w:ascii="Century Gothic" w:hAnsi="Century Gothic"/>
          <w:bCs/>
        </w:rPr>
        <w:t>Que, en mérito de lo expuesto,</w:t>
      </w:r>
    </w:p>
    <w:p w14:paraId="79B034CF" w14:textId="62C5E8F5" w:rsidR="00627D7E" w:rsidRPr="00627D7E" w:rsidRDefault="00B01E71" w:rsidP="00B01E71">
      <w:pPr>
        <w:spacing w:line="276" w:lineRule="auto"/>
        <w:jc w:val="center"/>
        <w:rPr>
          <w:rFonts w:ascii="Century Gothic" w:hAnsi="Century Gothic"/>
          <w:b/>
        </w:rPr>
      </w:pPr>
      <w:r>
        <w:rPr>
          <w:rFonts w:ascii="Century Gothic" w:hAnsi="Century Gothic"/>
          <w:b/>
        </w:rPr>
        <w:t xml:space="preserve">II. </w:t>
      </w:r>
      <w:r w:rsidR="00627D7E" w:rsidRPr="00627D7E">
        <w:rPr>
          <w:rFonts w:ascii="Century Gothic" w:hAnsi="Century Gothic"/>
          <w:b/>
        </w:rPr>
        <w:t>ACUERDA</w:t>
      </w:r>
    </w:p>
    <w:p w14:paraId="77E6E281" w14:textId="1FD3B2C7" w:rsidR="00627D7E" w:rsidRPr="00627D7E" w:rsidRDefault="00627D7E" w:rsidP="00627D7E">
      <w:pPr>
        <w:spacing w:line="276" w:lineRule="auto"/>
        <w:jc w:val="both"/>
        <w:rPr>
          <w:rFonts w:ascii="Century Gothic" w:hAnsi="Century Gothic"/>
          <w:bCs/>
        </w:rPr>
      </w:pPr>
      <w:r w:rsidRPr="00627D7E">
        <w:rPr>
          <w:rFonts w:ascii="Century Gothic" w:hAnsi="Century Gothic"/>
          <w:b/>
        </w:rPr>
        <w:t xml:space="preserve">ARTÍCULO PRIMERO. APROBACIÓN. </w:t>
      </w:r>
      <w:commentRangeStart w:id="3"/>
      <w:r w:rsidRPr="00627D7E">
        <w:rPr>
          <w:rFonts w:ascii="Century Gothic" w:hAnsi="Century Gothic"/>
          <w:bCs/>
        </w:rPr>
        <w:t>Aprobar la actualización integral del Manual Específico de Funciones, Requisitos y Competencias Laborales aplicable a los empleos de la planta de personal del Instituto Municipal de Deportes y Recreación de Cajicá</w:t>
      </w:r>
      <w:r w:rsidR="0002211E">
        <w:rPr>
          <w:rFonts w:ascii="Century Gothic" w:hAnsi="Century Gothic"/>
          <w:bCs/>
        </w:rPr>
        <w:t xml:space="preserve">, </w:t>
      </w:r>
      <w:r w:rsidRPr="00627D7E">
        <w:rPr>
          <w:rFonts w:ascii="Century Gothic" w:hAnsi="Century Gothic"/>
          <w:bCs/>
        </w:rPr>
        <w:t xml:space="preserve">INSDEPORTES </w:t>
      </w:r>
      <w:r w:rsidR="00B01E71" w:rsidRPr="00627D7E">
        <w:rPr>
          <w:rFonts w:ascii="Century Gothic" w:hAnsi="Century Gothic"/>
          <w:bCs/>
        </w:rPr>
        <w:t>Cajicá</w:t>
      </w:r>
      <w:commentRangeEnd w:id="3"/>
      <w:r w:rsidR="00CD36AE">
        <w:rPr>
          <w:rStyle w:val="Refdecomentario"/>
          <w:rFonts w:ascii="Century Gothic" w:hAnsi="Century Gothic"/>
          <w:bCs/>
          <w:sz w:val="22"/>
          <w:szCs w:val="22"/>
        </w:rPr>
        <w:commentReference w:id="3"/>
      </w:r>
      <w:r w:rsidR="00F902BB">
        <w:rPr>
          <w:rFonts w:ascii="Century Gothic" w:hAnsi="Century Gothic"/>
          <w:bCs/>
        </w:rPr>
        <w:t>.</w:t>
      </w:r>
    </w:p>
    <w:p w14:paraId="6F8C720F"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 xml:space="preserve">ARTÍCULO SEGUNDO. ÁMBITO DE APLICACIÓN. </w:t>
      </w:r>
      <w:r w:rsidRPr="00627D7E">
        <w:rPr>
          <w:rFonts w:ascii="Century Gothic" w:hAnsi="Century Gothic"/>
          <w:bCs/>
        </w:rPr>
        <w:t xml:space="preserve">El manual aprobado se aplicará a los seis (6) empleos de la planta global de personal vigente del Instituto, cualquiera sea la modalidad </w:t>
      </w:r>
      <w:r w:rsidRPr="00627D7E">
        <w:rPr>
          <w:rFonts w:ascii="Century Gothic" w:hAnsi="Century Gothic"/>
          <w:bCs/>
        </w:rPr>
        <w:lastRenderedPageBreak/>
        <w:t>de provisión permitida por el ordenamiento jurídico, sin perjuicio de las funciones señaladas directamente por la Constitución, la ley, los estatutos y demás normas especiales.</w:t>
      </w:r>
    </w:p>
    <w:p w14:paraId="7A00ABBF"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ARTÍCULO TERCERO. EXPEDICIÓN DEL MANUAL</w:t>
      </w:r>
      <w:r w:rsidRPr="00627D7E">
        <w:rPr>
          <w:rFonts w:ascii="Century Gothic" w:hAnsi="Century Gothic"/>
          <w:bCs/>
        </w:rPr>
        <w:t>. La Dirección del Instituto expedirá, mediante resolución interna, el Manual Específico de Funciones, Requisitos y Competencias Laborales aprobado por la Junta Directiva, de conformidad con el artículo 2.2.2.6.1 del Decreto 1083 de 2015 y demás disposiciones aplicables.</w:t>
      </w:r>
    </w:p>
    <w:p w14:paraId="06C9B9CC"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 xml:space="preserve">PARÁGRAFO. </w:t>
      </w:r>
      <w:r w:rsidRPr="00627D7E">
        <w:rPr>
          <w:rFonts w:ascii="Century Gothic" w:hAnsi="Century Gothic"/>
          <w:bCs/>
        </w:rPr>
        <w:t>La resolución de expedición identificará de manera inequívoca la versión aprobada, sus anexos, la fecha de entrada en vigor y los actos administrativos que se modifican, sustituyen o derogan.</w:t>
      </w:r>
    </w:p>
    <w:p w14:paraId="03E980E2" w14:textId="75F95C82" w:rsidR="00627D7E" w:rsidRPr="00627D7E" w:rsidRDefault="00627D7E" w:rsidP="00627D7E">
      <w:pPr>
        <w:spacing w:line="276" w:lineRule="auto"/>
        <w:jc w:val="both"/>
        <w:rPr>
          <w:rFonts w:ascii="Century Gothic" w:hAnsi="Century Gothic"/>
          <w:b/>
        </w:rPr>
      </w:pPr>
      <w:r w:rsidRPr="00627D7E">
        <w:rPr>
          <w:rFonts w:ascii="Century Gothic" w:hAnsi="Century Gothic"/>
          <w:b/>
        </w:rPr>
        <w:t xml:space="preserve">ARTÍCULO CUARTO. DOCUMENTOS INTEGRANTES Y TRAZABILIDAD. </w:t>
      </w:r>
      <w:r w:rsidRPr="00627D7E">
        <w:rPr>
          <w:rFonts w:ascii="Century Gothic" w:hAnsi="Century Gothic"/>
          <w:bCs/>
        </w:rPr>
        <w:t>Harán parte del expediente administrativo del presente acuerdo y de la resolución que expida el manual: el estudio técnico; la matriz funcional consolidada; los soportes de revisión jurídica; las constancias de publicación</w:t>
      </w:r>
      <w:r w:rsidR="00E31D05">
        <w:rPr>
          <w:rFonts w:ascii="Century Gothic" w:hAnsi="Century Gothic"/>
          <w:bCs/>
        </w:rPr>
        <w:t xml:space="preserve"> </w:t>
      </w:r>
      <w:r w:rsidRPr="00627D7E">
        <w:rPr>
          <w:rFonts w:ascii="Century Gothic" w:hAnsi="Century Gothic"/>
          <w:bCs/>
        </w:rPr>
        <w:t>y socialización; y la versión final aprobada.</w:t>
      </w:r>
    </w:p>
    <w:p w14:paraId="3002134D"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 xml:space="preserve">ARTÍCULO QUINTO. IMPLEMENTACIÓN. </w:t>
      </w:r>
      <w:r w:rsidRPr="00627D7E">
        <w:rPr>
          <w:rFonts w:ascii="Century Gothic" w:hAnsi="Century Gothic"/>
          <w:bCs/>
        </w:rPr>
        <w:t>La Dirección, por conducto del proceso de Gestión Administrativa y Talento Humano o quien haga sus veces, deberá comunicar el manual a cada servidor, incorporarlo a los procesos de selección, provisión, inducción, reinducción, capacitación, evaluación del desempeño y gestión del conocimiento, y mantener actualizada la información correspondiente en el SIGEP II y en los demás sistemas institucionales aplicables.</w:t>
      </w:r>
    </w:p>
    <w:p w14:paraId="5AAB4976"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 xml:space="preserve">ARTÍCULO SEXTO. DERECHOS DE CARRERA Y SITUACIONES CONSOLIDADAS. </w:t>
      </w:r>
      <w:r w:rsidRPr="00627D7E">
        <w:rPr>
          <w:rFonts w:ascii="Century Gothic" w:hAnsi="Century Gothic"/>
          <w:bCs/>
        </w:rPr>
        <w:t>La aplicación del manual respetará los derechos de carrera administrativa, los derechos adquiridos y las situaciones jurídicas consolidadas. La actualización de funciones y requisitos no producirá, por sí sola, el retiro automático de servidores ni habilitará la modificación de la naturaleza jurídica, denominación, código, grado, número de empleos o asignación salarial de los cargos sin la expedición de los actos administrativos y estudios técnicos legalmente exigidos.</w:t>
      </w:r>
    </w:p>
    <w:p w14:paraId="782E218F"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ARTÍCULO SÉPTIMO. EQUIVALENCIAS</w:t>
      </w:r>
      <w:r w:rsidRPr="00627D7E">
        <w:rPr>
          <w:rFonts w:ascii="Century Gothic" w:hAnsi="Century Gothic"/>
          <w:bCs/>
        </w:rPr>
        <w:t>. Las equivalencias entre estudios y experiencia solo podrán aplicarse en los eventos, condiciones y límites previstos en el Decreto Ley 785 de 2005, el Decreto 1083 de 2015 y las demás normas que los adicionen, modifiquen o sustituyan. En ningún caso podrán emplearse para desconocer títulos, matrículas, tarjetas profesionales, licencias u otros requisitos habilitantes exigidos directamente por la ley.</w:t>
      </w:r>
    </w:p>
    <w:p w14:paraId="1CCA6828"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 xml:space="preserve">ARTÍCULO OCTAVO. ACTUALIZACIÓN Y CONTROL DE CAMBIOS. </w:t>
      </w:r>
      <w:r w:rsidRPr="00627D7E">
        <w:rPr>
          <w:rFonts w:ascii="Century Gothic" w:hAnsi="Century Gothic"/>
          <w:bCs/>
        </w:rPr>
        <w:t>Toda modificación posterior del manual deberá estar precedida del análisis técnico y jurídico correspondiente, conservar la trazabilidad de los cambios, surtir la publicación y socialización exigibles y ser aprobada y expedida por</w:t>
      </w:r>
      <w:r w:rsidRPr="00627D7E">
        <w:rPr>
          <w:rFonts w:ascii="Century Gothic" w:hAnsi="Century Gothic"/>
          <w:b/>
        </w:rPr>
        <w:t xml:space="preserve"> </w:t>
      </w:r>
      <w:r w:rsidRPr="00627D7E">
        <w:rPr>
          <w:rFonts w:ascii="Century Gothic" w:hAnsi="Century Gothic"/>
          <w:bCs/>
        </w:rPr>
        <w:t>las autoridades competentes, según la distribución de atribuciones vigente.</w:t>
      </w:r>
    </w:p>
    <w:p w14:paraId="1C0A8E17" w14:textId="77777777" w:rsidR="00627D7E" w:rsidRPr="00627D7E" w:rsidRDefault="00627D7E" w:rsidP="00627D7E">
      <w:pPr>
        <w:spacing w:line="276" w:lineRule="auto"/>
        <w:jc w:val="both"/>
        <w:rPr>
          <w:rFonts w:ascii="Century Gothic" w:hAnsi="Century Gothic"/>
          <w:b/>
        </w:rPr>
      </w:pPr>
      <w:r w:rsidRPr="00627D7E">
        <w:rPr>
          <w:rFonts w:ascii="Century Gothic" w:hAnsi="Century Gothic"/>
          <w:b/>
        </w:rPr>
        <w:t xml:space="preserve">ARTÍCULO NOVENO. PUBLICACIÓN Y DIVULGACIÓN. </w:t>
      </w:r>
      <w:r w:rsidRPr="00627D7E">
        <w:rPr>
          <w:rFonts w:ascii="Century Gothic" w:hAnsi="Century Gothic"/>
          <w:bCs/>
        </w:rPr>
        <w:t xml:space="preserve">El presente acuerdo, la resolución que expida el manual y su anexo deberán publicarse en la sede electrónica institucional y </w:t>
      </w:r>
      <w:r w:rsidRPr="00627D7E">
        <w:rPr>
          <w:rFonts w:ascii="Century Gothic" w:hAnsi="Century Gothic"/>
          <w:bCs/>
        </w:rPr>
        <w:lastRenderedPageBreak/>
        <w:t>divulgarse a los servidores públicos del Instituto, de conformidad con los principios de publicidad, transparencia y acceso a la información pública.</w:t>
      </w:r>
    </w:p>
    <w:p w14:paraId="351AED36" w14:textId="77777777" w:rsidR="003634CF" w:rsidRDefault="00627D7E" w:rsidP="00627D7E">
      <w:pPr>
        <w:spacing w:line="276" w:lineRule="auto"/>
        <w:jc w:val="both"/>
        <w:rPr>
          <w:rFonts w:ascii="Century Gothic" w:hAnsi="Century Gothic"/>
          <w:bCs/>
        </w:rPr>
      </w:pPr>
      <w:r w:rsidRPr="00627D7E">
        <w:rPr>
          <w:rFonts w:ascii="Century Gothic" w:hAnsi="Century Gothic"/>
          <w:b/>
        </w:rPr>
        <w:t xml:space="preserve">ARTÍCULO DÉCIMO. VIGENCIA Y DEROGATORIAS. </w:t>
      </w:r>
      <w:r w:rsidRPr="00627D7E">
        <w:rPr>
          <w:rFonts w:ascii="Century Gothic" w:hAnsi="Century Gothic"/>
          <w:bCs/>
        </w:rPr>
        <w:t>El presente acuerdo rige a partir de su publicación</w:t>
      </w:r>
      <w:r w:rsidR="003634CF">
        <w:rPr>
          <w:rFonts w:ascii="Century Gothic" w:hAnsi="Century Gothic"/>
          <w:bCs/>
        </w:rPr>
        <w:t xml:space="preserve"> y deroga </w:t>
      </w:r>
      <w:r w:rsidRPr="00627D7E">
        <w:rPr>
          <w:rFonts w:ascii="Century Gothic" w:hAnsi="Century Gothic"/>
          <w:bCs/>
        </w:rPr>
        <w:t>el Acuerdo de Junta Directiva 003 de 2023</w:t>
      </w:r>
      <w:r w:rsidR="003634CF">
        <w:rPr>
          <w:rFonts w:ascii="Century Gothic" w:hAnsi="Century Gothic"/>
          <w:bCs/>
        </w:rPr>
        <w:t>.</w:t>
      </w:r>
    </w:p>
    <w:p w14:paraId="5BF9CDBD" w14:textId="07111338" w:rsidR="00627D7E" w:rsidRPr="00627D7E" w:rsidRDefault="00627D7E" w:rsidP="00627D7E">
      <w:pPr>
        <w:spacing w:line="276" w:lineRule="auto"/>
        <w:jc w:val="both"/>
        <w:rPr>
          <w:rFonts w:ascii="Century Gothic" w:hAnsi="Century Gothic"/>
          <w:b/>
        </w:rPr>
      </w:pPr>
      <w:commentRangeStart w:id="4"/>
      <w:r w:rsidRPr="00627D7E">
        <w:rPr>
          <w:rFonts w:ascii="Century Gothic" w:hAnsi="Century Gothic"/>
          <w:bCs/>
        </w:rPr>
        <w:t>, en especial la Resolución 032 de 2023, sin perjuicio de la validez de las actuaciones cumplidas bajo su vigencia.</w:t>
      </w:r>
      <w:commentRangeEnd w:id="4"/>
      <w:r w:rsidR="003634CF" w:rsidRPr="00627D7E">
        <w:rPr>
          <w:rStyle w:val="Refdecomentario"/>
          <w:rFonts w:ascii="Century Gothic" w:hAnsi="Century Gothic"/>
          <w:b/>
          <w:sz w:val="22"/>
          <w:szCs w:val="22"/>
        </w:rPr>
        <w:commentReference w:id="4"/>
      </w:r>
    </w:p>
    <w:p w14:paraId="1956AD25" w14:textId="77777777" w:rsidR="00627D7E" w:rsidRPr="00627D7E" w:rsidRDefault="00627D7E" w:rsidP="00E26B2A">
      <w:pPr>
        <w:spacing w:line="276" w:lineRule="auto"/>
        <w:jc w:val="center"/>
        <w:rPr>
          <w:rFonts w:ascii="Century Gothic" w:hAnsi="Century Gothic"/>
          <w:b/>
        </w:rPr>
      </w:pPr>
      <w:r w:rsidRPr="00627D7E">
        <w:rPr>
          <w:rFonts w:ascii="Century Gothic" w:hAnsi="Century Gothic"/>
          <w:b/>
        </w:rPr>
        <w:t>COMUNÍQUESE, PUBLÍQUESE Y CÚMPLASE</w:t>
      </w:r>
    </w:p>
    <w:p w14:paraId="2D3D23FB" w14:textId="35540F4F" w:rsidR="00627D7E" w:rsidRPr="00627D7E" w:rsidRDefault="00627D7E" w:rsidP="00627D7E">
      <w:pPr>
        <w:spacing w:line="276" w:lineRule="auto"/>
        <w:jc w:val="both"/>
        <w:rPr>
          <w:rFonts w:ascii="Century Gothic" w:hAnsi="Century Gothic"/>
          <w:bCs/>
        </w:rPr>
      </w:pPr>
      <w:r w:rsidRPr="00627D7E">
        <w:rPr>
          <w:rFonts w:ascii="Century Gothic" w:hAnsi="Century Gothic"/>
          <w:bCs/>
        </w:rPr>
        <w:t>Expedido en Cajicá, Cundinamarca, a los</w:t>
      </w:r>
      <w:r w:rsidR="00C50405">
        <w:rPr>
          <w:rFonts w:ascii="Century Gothic" w:hAnsi="Century Gothic"/>
          <w:bCs/>
        </w:rPr>
        <w:t xml:space="preserve"> veintisiete</w:t>
      </w:r>
      <w:r w:rsidRPr="00627D7E">
        <w:rPr>
          <w:rFonts w:ascii="Century Gothic" w:hAnsi="Century Gothic"/>
          <w:bCs/>
        </w:rPr>
        <w:t xml:space="preserve"> (</w:t>
      </w:r>
      <w:r w:rsidR="00C50405">
        <w:rPr>
          <w:rFonts w:ascii="Century Gothic" w:hAnsi="Century Gothic"/>
          <w:bCs/>
        </w:rPr>
        <w:t>27</w:t>
      </w:r>
      <w:r w:rsidRPr="00627D7E">
        <w:rPr>
          <w:rFonts w:ascii="Century Gothic" w:hAnsi="Century Gothic"/>
          <w:bCs/>
        </w:rPr>
        <w:t xml:space="preserve">) días del mes de </w:t>
      </w:r>
      <w:r w:rsidR="00C50405">
        <w:rPr>
          <w:rFonts w:ascii="Century Gothic" w:hAnsi="Century Gothic"/>
          <w:bCs/>
        </w:rPr>
        <w:t>julio</w:t>
      </w:r>
      <w:r w:rsidRPr="00627D7E">
        <w:rPr>
          <w:rFonts w:ascii="Century Gothic" w:hAnsi="Century Gothic"/>
          <w:bCs/>
        </w:rPr>
        <w:t xml:space="preserve"> de dos mil veintiséis (2026).</w:t>
      </w:r>
    </w:p>
    <w:p w14:paraId="482BE8A2" w14:textId="3CCCA529" w:rsidR="006C1D26" w:rsidRPr="00627D7E" w:rsidRDefault="00BB5244" w:rsidP="00627D7E">
      <w:pPr>
        <w:spacing w:line="276" w:lineRule="auto"/>
        <w:jc w:val="both"/>
        <w:rPr>
          <w:rFonts w:ascii="Century Gothic" w:hAnsi="Century Gothic"/>
          <w:b/>
          <w:bCs/>
        </w:rPr>
      </w:pPr>
      <w:r w:rsidRPr="00627D7E">
        <w:rPr>
          <w:rFonts w:ascii="Century Gothic" w:hAnsi="Century Gothic"/>
          <w:b/>
          <w:bCs/>
        </w:rPr>
        <w:t xml:space="preserve"> </w:t>
      </w:r>
    </w:p>
    <w:p w14:paraId="41D0A6EA" w14:textId="77777777" w:rsidR="0083137F" w:rsidRPr="00C50405" w:rsidRDefault="0083137F" w:rsidP="00627D7E">
      <w:pPr>
        <w:spacing w:line="276" w:lineRule="auto"/>
        <w:jc w:val="both"/>
        <w:rPr>
          <w:rFonts w:ascii="Century Gothic" w:hAnsi="Century Gothic"/>
          <w:b/>
          <w:bCs/>
          <w:sz w:val="20"/>
          <w:szCs w:val="20"/>
        </w:rPr>
      </w:pPr>
    </w:p>
    <w:p w14:paraId="7CA02D28" w14:textId="73549B32" w:rsidR="0083137F" w:rsidRPr="00C50405" w:rsidRDefault="0083137F" w:rsidP="00627D7E">
      <w:pPr>
        <w:spacing w:after="0" w:line="276" w:lineRule="auto"/>
        <w:jc w:val="both"/>
        <w:rPr>
          <w:rFonts w:ascii="Century Gothic" w:hAnsi="Century Gothic"/>
          <w:b/>
          <w:bCs/>
          <w:sz w:val="20"/>
          <w:szCs w:val="20"/>
        </w:rPr>
      </w:pPr>
      <w:r w:rsidRPr="00C50405">
        <w:rPr>
          <w:rFonts w:ascii="Century Gothic" w:hAnsi="Century Gothic"/>
          <w:b/>
          <w:bCs/>
          <w:sz w:val="20"/>
          <w:szCs w:val="20"/>
        </w:rPr>
        <w:t>FABIO</w:t>
      </w:r>
      <w:r w:rsidR="00FF3A44" w:rsidRPr="00C50405">
        <w:rPr>
          <w:rFonts w:ascii="Century Gothic" w:hAnsi="Century Gothic"/>
          <w:b/>
          <w:bCs/>
          <w:sz w:val="20"/>
          <w:szCs w:val="20"/>
        </w:rPr>
        <w:t>LA JÁCOME RINCÓN</w:t>
      </w:r>
      <w:r w:rsidRPr="00C50405">
        <w:rPr>
          <w:rFonts w:ascii="Century Gothic" w:hAnsi="Century Gothic"/>
          <w:b/>
          <w:bCs/>
          <w:sz w:val="20"/>
          <w:szCs w:val="20"/>
        </w:rPr>
        <w:tab/>
      </w:r>
      <w:r w:rsidRPr="00C50405">
        <w:rPr>
          <w:rFonts w:ascii="Century Gothic" w:hAnsi="Century Gothic"/>
          <w:b/>
          <w:bCs/>
          <w:sz w:val="20"/>
          <w:szCs w:val="20"/>
        </w:rPr>
        <w:tab/>
      </w:r>
      <w:r w:rsidR="00FF3A44" w:rsidRPr="00C50405">
        <w:rPr>
          <w:rFonts w:ascii="Century Gothic" w:hAnsi="Century Gothic"/>
          <w:b/>
          <w:bCs/>
          <w:sz w:val="20"/>
          <w:szCs w:val="20"/>
        </w:rPr>
        <w:t xml:space="preserve">             </w:t>
      </w:r>
      <w:r w:rsidR="00C7273C" w:rsidRPr="00C50405">
        <w:rPr>
          <w:rFonts w:ascii="Century Gothic" w:hAnsi="Century Gothic"/>
          <w:b/>
          <w:bCs/>
          <w:sz w:val="20"/>
          <w:szCs w:val="20"/>
        </w:rPr>
        <w:t xml:space="preserve">          </w:t>
      </w:r>
      <w:r w:rsidR="00FF3A44" w:rsidRPr="00C50405">
        <w:rPr>
          <w:rFonts w:ascii="Century Gothic" w:hAnsi="Century Gothic"/>
          <w:b/>
          <w:bCs/>
          <w:sz w:val="20"/>
          <w:szCs w:val="20"/>
        </w:rPr>
        <w:t xml:space="preserve">    </w:t>
      </w:r>
      <w:r w:rsidR="00C7273C" w:rsidRPr="00C50405">
        <w:rPr>
          <w:rFonts w:ascii="Century Gothic" w:hAnsi="Century Gothic"/>
          <w:b/>
          <w:bCs/>
          <w:sz w:val="20"/>
          <w:szCs w:val="20"/>
        </w:rPr>
        <w:t xml:space="preserve">     </w:t>
      </w:r>
      <w:r w:rsidR="00656E1B" w:rsidRPr="00C50405">
        <w:rPr>
          <w:rFonts w:ascii="Century Gothic" w:hAnsi="Century Gothic"/>
          <w:b/>
          <w:bCs/>
          <w:sz w:val="20"/>
          <w:szCs w:val="20"/>
        </w:rPr>
        <w:t xml:space="preserve">   </w:t>
      </w:r>
      <w:r w:rsidR="00C7273C" w:rsidRPr="00C50405">
        <w:rPr>
          <w:rFonts w:ascii="Century Gothic" w:hAnsi="Century Gothic"/>
          <w:b/>
          <w:bCs/>
          <w:sz w:val="20"/>
          <w:szCs w:val="20"/>
        </w:rPr>
        <w:t xml:space="preserve"> </w:t>
      </w:r>
      <w:r w:rsidR="00FF3A44" w:rsidRPr="00C50405">
        <w:rPr>
          <w:rFonts w:ascii="Century Gothic" w:hAnsi="Century Gothic"/>
          <w:b/>
          <w:bCs/>
          <w:sz w:val="20"/>
          <w:szCs w:val="20"/>
        </w:rPr>
        <w:t>D</w:t>
      </w:r>
      <w:r w:rsidR="009972B2" w:rsidRPr="00C50405">
        <w:rPr>
          <w:rFonts w:ascii="Century Gothic" w:hAnsi="Century Gothic"/>
          <w:b/>
          <w:bCs/>
          <w:sz w:val="20"/>
          <w:szCs w:val="20"/>
        </w:rPr>
        <w:t>UVAN ALEJANDRO LÓPEZ CALDERÓ</w:t>
      </w:r>
      <w:r w:rsidR="00FF3A44" w:rsidRPr="00C50405">
        <w:rPr>
          <w:rFonts w:ascii="Century Gothic" w:hAnsi="Century Gothic"/>
          <w:b/>
          <w:bCs/>
          <w:sz w:val="20"/>
          <w:szCs w:val="20"/>
        </w:rPr>
        <w:t>N</w:t>
      </w:r>
    </w:p>
    <w:p w14:paraId="27F142AE" w14:textId="0DEC2EEB" w:rsidR="0083137F" w:rsidRPr="00C50405" w:rsidRDefault="00656E1B" w:rsidP="00627D7E">
      <w:pPr>
        <w:spacing w:after="0" w:line="276" w:lineRule="auto"/>
        <w:jc w:val="both"/>
        <w:rPr>
          <w:rFonts w:ascii="Century Gothic" w:hAnsi="Century Gothic"/>
          <w:b/>
          <w:bCs/>
          <w:sz w:val="20"/>
          <w:szCs w:val="20"/>
        </w:rPr>
      </w:pPr>
      <w:r w:rsidRPr="00C50405">
        <w:rPr>
          <w:rFonts w:ascii="Century Gothic" w:hAnsi="Century Gothic"/>
          <w:b/>
          <w:bCs/>
          <w:sz w:val="20"/>
          <w:szCs w:val="20"/>
        </w:rPr>
        <w:t xml:space="preserve">    </w:t>
      </w:r>
      <w:r w:rsidR="0083137F" w:rsidRPr="00C50405">
        <w:rPr>
          <w:rFonts w:ascii="Century Gothic" w:hAnsi="Century Gothic"/>
          <w:b/>
          <w:bCs/>
          <w:sz w:val="20"/>
          <w:szCs w:val="20"/>
        </w:rPr>
        <w:t>Alcalde</w:t>
      </w:r>
      <w:r w:rsidR="00FF3A44" w:rsidRPr="00C50405">
        <w:rPr>
          <w:rFonts w:ascii="Century Gothic" w:hAnsi="Century Gothic"/>
          <w:b/>
          <w:bCs/>
          <w:sz w:val="20"/>
          <w:szCs w:val="20"/>
        </w:rPr>
        <w:t>sa</w:t>
      </w:r>
      <w:r w:rsidR="0083137F" w:rsidRPr="00C50405">
        <w:rPr>
          <w:rFonts w:ascii="Century Gothic" w:hAnsi="Century Gothic"/>
          <w:b/>
          <w:bCs/>
          <w:sz w:val="20"/>
          <w:szCs w:val="20"/>
        </w:rPr>
        <w:t xml:space="preserve"> Municipal</w:t>
      </w:r>
      <w:r w:rsidR="0083137F" w:rsidRPr="00C50405">
        <w:rPr>
          <w:rFonts w:ascii="Century Gothic" w:hAnsi="Century Gothic"/>
          <w:b/>
          <w:bCs/>
          <w:sz w:val="20"/>
          <w:szCs w:val="20"/>
        </w:rPr>
        <w:tab/>
      </w:r>
      <w:r w:rsidR="0083137F" w:rsidRPr="00C50405">
        <w:rPr>
          <w:rFonts w:ascii="Century Gothic" w:hAnsi="Century Gothic"/>
          <w:b/>
          <w:bCs/>
          <w:sz w:val="20"/>
          <w:szCs w:val="20"/>
        </w:rPr>
        <w:tab/>
      </w:r>
      <w:r w:rsidR="00FF3A44" w:rsidRPr="00C50405">
        <w:rPr>
          <w:rFonts w:ascii="Century Gothic" w:hAnsi="Century Gothic"/>
          <w:b/>
          <w:bCs/>
          <w:sz w:val="20"/>
          <w:szCs w:val="20"/>
        </w:rPr>
        <w:t xml:space="preserve">                            </w:t>
      </w:r>
      <w:r w:rsidR="006A5FD9" w:rsidRPr="00C50405">
        <w:rPr>
          <w:rFonts w:ascii="Century Gothic" w:hAnsi="Century Gothic"/>
          <w:b/>
          <w:bCs/>
          <w:sz w:val="20"/>
          <w:szCs w:val="20"/>
        </w:rPr>
        <w:t xml:space="preserve">     </w:t>
      </w:r>
      <w:r w:rsidR="00C7273C" w:rsidRPr="00C50405">
        <w:rPr>
          <w:rFonts w:ascii="Century Gothic" w:hAnsi="Century Gothic"/>
          <w:b/>
          <w:bCs/>
          <w:sz w:val="20"/>
          <w:szCs w:val="20"/>
        </w:rPr>
        <w:t xml:space="preserve">    </w:t>
      </w:r>
      <w:r w:rsidR="006A5FD9" w:rsidRPr="00C50405">
        <w:rPr>
          <w:rFonts w:ascii="Century Gothic" w:hAnsi="Century Gothic"/>
          <w:b/>
          <w:bCs/>
          <w:sz w:val="20"/>
          <w:szCs w:val="20"/>
        </w:rPr>
        <w:t xml:space="preserve">  </w:t>
      </w:r>
      <w:r w:rsidR="00C7273C" w:rsidRPr="00C50405">
        <w:rPr>
          <w:rFonts w:ascii="Century Gothic" w:hAnsi="Century Gothic"/>
          <w:b/>
          <w:bCs/>
          <w:sz w:val="20"/>
          <w:szCs w:val="20"/>
        </w:rPr>
        <w:t xml:space="preserve">     </w:t>
      </w:r>
      <w:r w:rsidRPr="00C50405">
        <w:rPr>
          <w:rFonts w:ascii="Century Gothic" w:hAnsi="Century Gothic"/>
          <w:b/>
          <w:bCs/>
          <w:sz w:val="20"/>
          <w:szCs w:val="20"/>
        </w:rPr>
        <w:t xml:space="preserve">   </w:t>
      </w:r>
      <w:r w:rsidR="00C7273C" w:rsidRPr="00C50405">
        <w:rPr>
          <w:rFonts w:ascii="Century Gothic" w:hAnsi="Century Gothic"/>
          <w:b/>
          <w:bCs/>
          <w:sz w:val="20"/>
          <w:szCs w:val="20"/>
        </w:rPr>
        <w:t xml:space="preserve"> </w:t>
      </w:r>
      <w:r w:rsidR="006A5FD9" w:rsidRPr="00C50405">
        <w:rPr>
          <w:rFonts w:ascii="Century Gothic" w:hAnsi="Century Gothic"/>
          <w:b/>
          <w:bCs/>
          <w:sz w:val="20"/>
          <w:szCs w:val="20"/>
        </w:rPr>
        <w:t xml:space="preserve"> </w:t>
      </w:r>
      <w:r w:rsidR="0083137F" w:rsidRPr="00C50405">
        <w:rPr>
          <w:rFonts w:ascii="Century Gothic" w:hAnsi="Century Gothic"/>
          <w:b/>
          <w:bCs/>
          <w:sz w:val="20"/>
          <w:szCs w:val="20"/>
        </w:rPr>
        <w:t>D</w:t>
      </w:r>
      <w:r w:rsidR="00301F6C" w:rsidRPr="00C50405">
        <w:rPr>
          <w:rFonts w:ascii="Century Gothic" w:hAnsi="Century Gothic"/>
          <w:b/>
          <w:bCs/>
          <w:sz w:val="20"/>
          <w:szCs w:val="20"/>
        </w:rPr>
        <w:t>irector</w:t>
      </w:r>
      <w:r w:rsidR="0083137F" w:rsidRPr="00C50405">
        <w:rPr>
          <w:rFonts w:ascii="Century Gothic" w:hAnsi="Century Gothic"/>
          <w:b/>
          <w:bCs/>
          <w:sz w:val="20"/>
          <w:szCs w:val="20"/>
        </w:rPr>
        <w:t xml:space="preserve"> Insdeportes Cajicá.</w:t>
      </w:r>
    </w:p>
    <w:p w14:paraId="41E514BD" w14:textId="384B9A71" w:rsidR="00DC22C6" w:rsidRPr="00C50405" w:rsidRDefault="006A5FD9" w:rsidP="00627D7E">
      <w:pPr>
        <w:spacing w:after="0" w:line="276" w:lineRule="auto"/>
        <w:jc w:val="both"/>
        <w:rPr>
          <w:rFonts w:ascii="Century Gothic" w:hAnsi="Century Gothic"/>
          <w:b/>
          <w:bCs/>
          <w:sz w:val="20"/>
          <w:szCs w:val="20"/>
        </w:rPr>
      </w:pPr>
      <w:r w:rsidRPr="00C50405">
        <w:rPr>
          <w:rFonts w:ascii="Century Gothic" w:hAnsi="Century Gothic"/>
          <w:b/>
          <w:bCs/>
          <w:sz w:val="20"/>
          <w:szCs w:val="20"/>
        </w:rPr>
        <w:t xml:space="preserve">   </w:t>
      </w:r>
      <w:r w:rsidR="00656E1B" w:rsidRPr="00C50405">
        <w:rPr>
          <w:rFonts w:ascii="Century Gothic" w:hAnsi="Century Gothic"/>
          <w:b/>
          <w:bCs/>
          <w:sz w:val="20"/>
          <w:szCs w:val="20"/>
        </w:rPr>
        <w:t xml:space="preserve">       </w:t>
      </w:r>
      <w:r w:rsidRPr="00C50405">
        <w:rPr>
          <w:rFonts w:ascii="Century Gothic" w:hAnsi="Century Gothic"/>
          <w:b/>
          <w:bCs/>
          <w:sz w:val="20"/>
          <w:szCs w:val="20"/>
        </w:rPr>
        <w:t xml:space="preserve">  </w:t>
      </w:r>
      <w:r w:rsidR="0083137F" w:rsidRPr="00C50405">
        <w:rPr>
          <w:rFonts w:ascii="Century Gothic" w:hAnsi="Century Gothic"/>
          <w:b/>
          <w:bCs/>
          <w:sz w:val="20"/>
          <w:szCs w:val="20"/>
        </w:rPr>
        <w:t>Presidente</w:t>
      </w:r>
      <w:r w:rsidR="0083137F" w:rsidRPr="00C50405">
        <w:rPr>
          <w:rFonts w:ascii="Century Gothic" w:hAnsi="Century Gothic"/>
          <w:b/>
          <w:bCs/>
          <w:sz w:val="20"/>
          <w:szCs w:val="20"/>
        </w:rPr>
        <w:tab/>
      </w:r>
      <w:r w:rsidR="0083137F" w:rsidRPr="00C50405">
        <w:rPr>
          <w:rFonts w:ascii="Century Gothic" w:hAnsi="Century Gothic"/>
          <w:b/>
          <w:bCs/>
          <w:sz w:val="20"/>
          <w:szCs w:val="20"/>
        </w:rPr>
        <w:tab/>
      </w:r>
      <w:r w:rsidR="0083137F" w:rsidRPr="00C50405">
        <w:rPr>
          <w:rFonts w:ascii="Century Gothic" w:hAnsi="Century Gothic"/>
          <w:b/>
          <w:bCs/>
          <w:sz w:val="20"/>
          <w:szCs w:val="20"/>
        </w:rPr>
        <w:tab/>
      </w:r>
      <w:r w:rsidR="0083137F" w:rsidRPr="00C50405">
        <w:rPr>
          <w:rFonts w:ascii="Century Gothic" w:hAnsi="Century Gothic"/>
          <w:b/>
          <w:bCs/>
          <w:sz w:val="20"/>
          <w:szCs w:val="20"/>
        </w:rPr>
        <w:tab/>
      </w:r>
      <w:r w:rsidR="0083137F" w:rsidRPr="00C50405">
        <w:rPr>
          <w:rFonts w:ascii="Century Gothic" w:hAnsi="Century Gothic"/>
          <w:b/>
          <w:bCs/>
          <w:sz w:val="20"/>
          <w:szCs w:val="20"/>
        </w:rPr>
        <w:tab/>
      </w:r>
      <w:r w:rsidR="0083137F" w:rsidRPr="00C50405">
        <w:rPr>
          <w:rFonts w:ascii="Century Gothic" w:hAnsi="Century Gothic"/>
          <w:b/>
          <w:bCs/>
          <w:sz w:val="20"/>
          <w:szCs w:val="20"/>
        </w:rPr>
        <w:tab/>
      </w:r>
      <w:r w:rsidR="00FF3A44" w:rsidRPr="00C50405">
        <w:rPr>
          <w:rFonts w:ascii="Century Gothic" w:hAnsi="Century Gothic"/>
          <w:b/>
          <w:bCs/>
          <w:sz w:val="20"/>
          <w:szCs w:val="20"/>
        </w:rPr>
        <w:t xml:space="preserve">     </w:t>
      </w:r>
      <w:r w:rsidRPr="00C50405">
        <w:rPr>
          <w:rFonts w:ascii="Century Gothic" w:hAnsi="Century Gothic"/>
          <w:b/>
          <w:bCs/>
          <w:sz w:val="20"/>
          <w:szCs w:val="20"/>
        </w:rPr>
        <w:t xml:space="preserve">            </w:t>
      </w:r>
      <w:r w:rsidR="00656E1B" w:rsidRPr="00C50405">
        <w:rPr>
          <w:rFonts w:ascii="Century Gothic" w:hAnsi="Century Gothic"/>
          <w:b/>
          <w:bCs/>
          <w:sz w:val="20"/>
          <w:szCs w:val="20"/>
        </w:rPr>
        <w:t xml:space="preserve">    </w:t>
      </w:r>
      <w:r w:rsidRPr="00C50405">
        <w:rPr>
          <w:rFonts w:ascii="Century Gothic" w:hAnsi="Century Gothic"/>
          <w:b/>
          <w:bCs/>
          <w:sz w:val="20"/>
          <w:szCs w:val="20"/>
        </w:rPr>
        <w:t xml:space="preserve">  </w:t>
      </w:r>
      <w:r w:rsidR="00EA690A" w:rsidRPr="00C50405">
        <w:rPr>
          <w:rFonts w:ascii="Century Gothic" w:hAnsi="Century Gothic"/>
          <w:b/>
          <w:bCs/>
          <w:sz w:val="20"/>
          <w:szCs w:val="20"/>
        </w:rPr>
        <w:t>Secretario</w:t>
      </w:r>
    </w:p>
    <w:p w14:paraId="13DA9730" w14:textId="77777777" w:rsidR="00054D1D" w:rsidRPr="00627D7E" w:rsidRDefault="00054D1D" w:rsidP="00627D7E">
      <w:pPr>
        <w:spacing w:after="0" w:line="276" w:lineRule="auto"/>
        <w:jc w:val="both"/>
        <w:rPr>
          <w:rFonts w:ascii="Century Gothic" w:hAnsi="Century Gothic"/>
          <w:b/>
          <w:bCs/>
        </w:rPr>
      </w:pPr>
    </w:p>
    <w:p w14:paraId="04C7F7EB" w14:textId="77777777" w:rsidR="00054D1D" w:rsidRPr="00627D7E" w:rsidRDefault="00054D1D" w:rsidP="00627D7E">
      <w:pPr>
        <w:spacing w:after="0" w:line="276" w:lineRule="auto"/>
        <w:jc w:val="both"/>
        <w:rPr>
          <w:rFonts w:ascii="Century Gothic" w:hAnsi="Century Gothic"/>
          <w:b/>
          <w:bCs/>
        </w:rPr>
      </w:pPr>
    </w:p>
    <w:tbl>
      <w:tblPr>
        <w:tblpPr w:leftFromText="141" w:rightFromText="141" w:vertAnchor="text" w:horzAnchor="margin" w:tblpXSpec="center" w:tblpY="59"/>
        <w:tblW w:w="5061" w:type="pct"/>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1581"/>
        <w:gridCol w:w="3376"/>
        <w:gridCol w:w="2126"/>
        <w:gridCol w:w="2807"/>
      </w:tblGrid>
      <w:tr w:rsidR="00301F6C" w:rsidRPr="00627D7E" w14:paraId="5B6E67E4" w14:textId="77777777" w:rsidTr="001B1AC9">
        <w:trPr>
          <w:trHeight w:val="25"/>
        </w:trPr>
        <w:tc>
          <w:tcPr>
            <w:tcW w:w="5000" w:type="pct"/>
            <w:gridSpan w:val="4"/>
            <w:shd w:val="clear" w:color="auto" w:fill="002060"/>
            <w:vAlign w:val="center"/>
          </w:tcPr>
          <w:p w14:paraId="653C7557" w14:textId="77777777" w:rsidR="00301F6C" w:rsidRPr="00627D7E" w:rsidRDefault="00301F6C" w:rsidP="00D7682B">
            <w:pPr>
              <w:autoSpaceDE w:val="0"/>
              <w:autoSpaceDN w:val="0"/>
              <w:adjustRightInd w:val="0"/>
              <w:spacing w:line="276" w:lineRule="auto"/>
              <w:jc w:val="center"/>
              <w:rPr>
                <w:rFonts w:ascii="Century Gothic" w:hAnsi="Century Gothic"/>
                <w:color w:val="DEEAF6"/>
                <w:sz w:val="16"/>
                <w:szCs w:val="16"/>
              </w:rPr>
            </w:pPr>
            <w:r w:rsidRPr="00627D7E">
              <w:rPr>
                <w:rFonts w:ascii="Century Gothic" w:eastAsia="Times New Roman" w:hAnsi="Century Gothic" w:cs="Arial"/>
                <w:b/>
                <w:bCs/>
                <w:color w:val="FFFFFF"/>
                <w:sz w:val="16"/>
                <w:szCs w:val="16"/>
                <w:lang w:eastAsia="es-CO"/>
              </w:rPr>
              <w:t>TABLA DE CONTROL DOCUMENTAL</w:t>
            </w:r>
          </w:p>
        </w:tc>
      </w:tr>
      <w:tr w:rsidR="00301F6C" w:rsidRPr="00627D7E" w14:paraId="4E2EB03D" w14:textId="77777777" w:rsidTr="00EA690A">
        <w:trPr>
          <w:trHeight w:val="12"/>
        </w:trPr>
        <w:tc>
          <w:tcPr>
            <w:tcW w:w="799" w:type="pct"/>
            <w:shd w:val="clear" w:color="auto" w:fill="002060"/>
            <w:vAlign w:val="bottom"/>
          </w:tcPr>
          <w:p w14:paraId="35947523" w14:textId="77777777" w:rsidR="00301F6C" w:rsidRPr="00627D7E" w:rsidRDefault="00301F6C" w:rsidP="00D7682B">
            <w:pPr>
              <w:autoSpaceDE w:val="0"/>
              <w:autoSpaceDN w:val="0"/>
              <w:adjustRightInd w:val="0"/>
              <w:spacing w:line="276" w:lineRule="auto"/>
              <w:jc w:val="center"/>
              <w:rPr>
                <w:rFonts w:ascii="Century Gothic" w:hAnsi="Century Gothic"/>
                <w:b/>
                <w:color w:val="FFFFFF" w:themeColor="background1"/>
                <w:sz w:val="16"/>
                <w:szCs w:val="16"/>
              </w:rPr>
            </w:pPr>
            <w:r w:rsidRPr="00627D7E">
              <w:rPr>
                <w:rFonts w:ascii="Century Gothic" w:hAnsi="Century Gothic"/>
                <w:b/>
                <w:color w:val="FFFFFF" w:themeColor="background1"/>
                <w:sz w:val="16"/>
                <w:szCs w:val="16"/>
              </w:rPr>
              <w:t>Responsable</w:t>
            </w:r>
          </w:p>
        </w:tc>
        <w:tc>
          <w:tcPr>
            <w:tcW w:w="1707" w:type="pct"/>
            <w:shd w:val="clear" w:color="auto" w:fill="002060"/>
            <w:vAlign w:val="bottom"/>
          </w:tcPr>
          <w:p w14:paraId="1B5E9B5B" w14:textId="77777777" w:rsidR="00301F6C" w:rsidRPr="00627D7E" w:rsidRDefault="00301F6C" w:rsidP="00D7682B">
            <w:pPr>
              <w:autoSpaceDE w:val="0"/>
              <w:autoSpaceDN w:val="0"/>
              <w:adjustRightInd w:val="0"/>
              <w:spacing w:line="276" w:lineRule="auto"/>
              <w:jc w:val="center"/>
              <w:rPr>
                <w:rFonts w:ascii="Century Gothic" w:hAnsi="Century Gothic"/>
                <w:b/>
                <w:color w:val="FFFFFF" w:themeColor="background1"/>
                <w:sz w:val="16"/>
                <w:szCs w:val="16"/>
              </w:rPr>
            </w:pPr>
            <w:r w:rsidRPr="00627D7E">
              <w:rPr>
                <w:rFonts w:ascii="Century Gothic" w:hAnsi="Century Gothic"/>
                <w:b/>
                <w:color w:val="FFFFFF" w:themeColor="background1"/>
                <w:sz w:val="16"/>
                <w:szCs w:val="16"/>
              </w:rPr>
              <w:t>Nombre(s) y apellidos</w:t>
            </w:r>
          </w:p>
        </w:tc>
        <w:tc>
          <w:tcPr>
            <w:tcW w:w="1075" w:type="pct"/>
            <w:shd w:val="clear" w:color="auto" w:fill="002060"/>
            <w:vAlign w:val="bottom"/>
          </w:tcPr>
          <w:p w14:paraId="177AAB28" w14:textId="77777777" w:rsidR="00301F6C" w:rsidRPr="00627D7E" w:rsidRDefault="00301F6C" w:rsidP="00D7682B">
            <w:pPr>
              <w:autoSpaceDE w:val="0"/>
              <w:autoSpaceDN w:val="0"/>
              <w:adjustRightInd w:val="0"/>
              <w:spacing w:line="276" w:lineRule="auto"/>
              <w:jc w:val="center"/>
              <w:rPr>
                <w:rFonts w:ascii="Century Gothic" w:hAnsi="Century Gothic"/>
                <w:b/>
                <w:color w:val="FFFFFF" w:themeColor="background1"/>
                <w:sz w:val="16"/>
                <w:szCs w:val="16"/>
              </w:rPr>
            </w:pPr>
            <w:r w:rsidRPr="00627D7E">
              <w:rPr>
                <w:rFonts w:ascii="Century Gothic" w:hAnsi="Century Gothic"/>
                <w:b/>
                <w:color w:val="FFFFFF" w:themeColor="background1"/>
                <w:sz w:val="16"/>
                <w:szCs w:val="16"/>
              </w:rPr>
              <w:t>Firma</w:t>
            </w:r>
          </w:p>
        </w:tc>
        <w:tc>
          <w:tcPr>
            <w:tcW w:w="1419" w:type="pct"/>
            <w:shd w:val="clear" w:color="auto" w:fill="002060"/>
            <w:vAlign w:val="bottom"/>
          </w:tcPr>
          <w:p w14:paraId="5804E0BE" w14:textId="77777777" w:rsidR="00301F6C" w:rsidRPr="00627D7E" w:rsidRDefault="00301F6C" w:rsidP="00D7682B">
            <w:pPr>
              <w:autoSpaceDE w:val="0"/>
              <w:autoSpaceDN w:val="0"/>
              <w:adjustRightInd w:val="0"/>
              <w:spacing w:line="276" w:lineRule="auto"/>
              <w:jc w:val="center"/>
              <w:rPr>
                <w:rFonts w:ascii="Century Gothic" w:hAnsi="Century Gothic"/>
                <w:b/>
                <w:color w:val="FFFFFF" w:themeColor="background1"/>
                <w:sz w:val="16"/>
                <w:szCs w:val="16"/>
              </w:rPr>
            </w:pPr>
            <w:r w:rsidRPr="00627D7E">
              <w:rPr>
                <w:rFonts w:ascii="Century Gothic" w:hAnsi="Century Gothic"/>
                <w:b/>
                <w:color w:val="FFFFFF" w:themeColor="background1"/>
                <w:sz w:val="16"/>
                <w:szCs w:val="16"/>
              </w:rPr>
              <w:t>Proceso</w:t>
            </w:r>
          </w:p>
        </w:tc>
      </w:tr>
      <w:tr w:rsidR="00301F6C" w:rsidRPr="00627D7E" w14:paraId="2FB985A9" w14:textId="77777777" w:rsidTr="004E6B85">
        <w:trPr>
          <w:trHeight w:val="70"/>
        </w:trPr>
        <w:tc>
          <w:tcPr>
            <w:tcW w:w="799" w:type="pct"/>
            <w:vAlign w:val="center"/>
          </w:tcPr>
          <w:p w14:paraId="702BFE7B" w14:textId="29E7A864" w:rsidR="00301F6C" w:rsidRPr="00627D7E" w:rsidRDefault="00BE4445" w:rsidP="00627D7E">
            <w:pPr>
              <w:autoSpaceDE w:val="0"/>
              <w:autoSpaceDN w:val="0"/>
              <w:adjustRightInd w:val="0"/>
              <w:spacing w:line="276" w:lineRule="auto"/>
              <w:jc w:val="both"/>
              <w:rPr>
                <w:rFonts w:ascii="Century Gothic" w:hAnsi="Century Gothic"/>
                <w:b/>
                <w:bCs/>
                <w:sz w:val="16"/>
                <w:szCs w:val="16"/>
              </w:rPr>
            </w:pPr>
            <w:r w:rsidRPr="00627D7E">
              <w:rPr>
                <w:rFonts w:ascii="Century Gothic" w:hAnsi="Century Gothic" w:cs="Arial"/>
                <w:b/>
                <w:bCs/>
                <w:sz w:val="16"/>
                <w:szCs w:val="16"/>
              </w:rPr>
              <w:t xml:space="preserve">     </w:t>
            </w:r>
            <w:r w:rsidR="00301F6C" w:rsidRPr="00627D7E">
              <w:rPr>
                <w:rFonts w:ascii="Century Gothic" w:hAnsi="Century Gothic" w:cs="Arial"/>
                <w:b/>
                <w:bCs/>
                <w:sz w:val="16"/>
                <w:szCs w:val="16"/>
              </w:rPr>
              <w:t>Proyectó:</w:t>
            </w:r>
          </w:p>
        </w:tc>
        <w:tc>
          <w:tcPr>
            <w:tcW w:w="1707" w:type="pct"/>
            <w:vAlign w:val="center"/>
          </w:tcPr>
          <w:p w14:paraId="62CEAB38" w14:textId="6C7274DE" w:rsidR="00301F6C" w:rsidRPr="00627D7E" w:rsidRDefault="00627D7E" w:rsidP="00627D7E">
            <w:pPr>
              <w:autoSpaceDE w:val="0"/>
              <w:autoSpaceDN w:val="0"/>
              <w:adjustRightInd w:val="0"/>
              <w:spacing w:line="276" w:lineRule="auto"/>
              <w:jc w:val="both"/>
              <w:rPr>
                <w:rFonts w:ascii="Century Gothic" w:hAnsi="Century Gothic"/>
                <w:sz w:val="16"/>
                <w:szCs w:val="16"/>
              </w:rPr>
            </w:pPr>
            <w:r>
              <w:rPr>
                <w:rFonts w:ascii="Century Gothic" w:hAnsi="Century Gothic"/>
                <w:sz w:val="16"/>
                <w:szCs w:val="16"/>
              </w:rPr>
              <w:t>Herson Yesid Arroyo Acevedo</w:t>
            </w:r>
          </w:p>
        </w:tc>
        <w:tc>
          <w:tcPr>
            <w:tcW w:w="1075" w:type="pct"/>
            <w:vAlign w:val="center"/>
          </w:tcPr>
          <w:p w14:paraId="2D8B6AF9" w14:textId="77777777" w:rsidR="00301F6C" w:rsidRPr="00627D7E" w:rsidRDefault="00301F6C" w:rsidP="00627D7E">
            <w:pPr>
              <w:autoSpaceDE w:val="0"/>
              <w:autoSpaceDN w:val="0"/>
              <w:adjustRightInd w:val="0"/>
              <w:spacing w:line="276" w:lineRule="auto"/>
              <w:jc w:val="both"/>
              <w:rPr>
                <w:rFonts w:ascii="Century Gothic" w:hAnsi="Century Gothic"/>
                <w:sz w:val="16"/>
                <w:szCs w:val="16"/>
              </w:rPr>
            </w:pPr>
          </w:p>
        </w:tc>
        <w:tc>
          <w:tcPr>
            <w:tcW w:w="1419" w:type="pct"/>
            <w:vAlign w:val="center"/>
          </w:tcPr>
          <w:p w14:paraId="58938DF3" w14:textId="7D3AB57C" w:rsidR="00301F6C" w:rsidRPr="00627D7E" w:rsidRDefault="00F50A04" w:rsidP="00627D7E">
            <w:pPr>
              <w:autoSpaceDE w:val="0"/>
              <w:autoSpaceDN w:val="0"/>
              <w:adjustRightInd w:val="0"/>
              <w:spacing w:line="276" w:lineRule="auto"/>
              <w:jc w:val="both"/>
              <w:rPr>
                <w:rFonts w:ascii="Century Gothic" w:hAnsi="Century Gothic" w:cs="Arial"/>
                <w:sz w:val="16"/>
                <w:szCs w:val="16"/>
              </w:rPr>
            </w:pPr>
            <w:r w:rsidRPr="00627D7E">
              <w:rPr>
                <w:rFonts w:ascii="Century Gothic" w:hAnsi="Century Gothic" w:cs="Arial"/>
                <w:sz w:val="16"/>
                <w:szCs w:val="16"/>
              </w:rPr>
              <w:t>G</w:t>
            </w:r>
            <w:r w:rsidR="00BE4445" w:rsidRPr="00627D7E">
              <w:rPr>
                <w:rFonts w:ascii="Century Gothic" w:hAnsi="Century Gothic" w:cs="Arial"/>
                <w:sz w:val="16"/>
                <w:szCs w:val="16"/>
              </w:rPr>
              <w:t>estión</w:t>
            </w:r>
            <w:r w:rsidR="00627D7E">
              <w:rPr>
                <w:rFonts w:ascii="Century Gothic" w:hAnsi="Century Gothic" w:cs="Arial"/>
                <w:sz w:val="16"/>
                <w:szCs w:val="16"/>
              </w:rPr>
              <w:t xml:space="preserve"> Jurídica</w:t>
            </w:r>
          </w:p>
        </w:tc>
      </w:tr>
      <w:tr w:rsidR="00F50A04" w:rsidRPr="00627D7E" w14:paraId="182B0701" w14:textId="77777777" w:rsidTr="004E6B85">
        <w:trPr>
          <w:trHeight w:val="181"/>
        </w:trPr>
        <w:tc>
          <w:tcPr>
            <w:tcW w:w="799" w:type="pct"/>
            <w:vMerge w:val="restart"/>
            <w:vAlign w:val="center"/>
          </w:tcPr>
          <w:p w14:paraId="7B496AD3" w14:textId="000D2C68" w:rsidR="00F50A04" w:rsidRPr="00627D7E" w:rsidRDefault="00F50A04" w:rsidP="00627D7E">
            <w:pPr>
              <w:autoSpaceDE w:val="0"/>
              <w:autoSpaceDN w:val="0"/>
              <w:adjustRightInd w:val="0"/>
              <w:spacing w:line="276" w:lineRule="auto"/>
              <w:jc w:val="both"/>
              <w:rPr>
                <w:rFonts w:ascii="Century Gothic" w:hAnsi="Century Gothic"/>
                <w:b/>
                <w:bCs/>
                <w:sz w:val="16"/>
                <w:szCs w:val="16"/>
              </w:rPr>
            </w:pPr>
            <w:r w:rsidRPr="00627D7E">
              <w:rPr>
                <w:rFonts w:ascii="Century Gothic" w:hAnsi="Century Gothic" w:cs="Arial"/>
                <w:b/>
                <w:bCs/>
                <w:sz w:val="16"/>
                <w:szCs w:val="16"/>
              </w:rPr>
              <w:t>Revisó y ajustó:</w:t>
            </w:r>
          </w:p>
        </w:tc>
        <w:tc>
          <w:tcPr>
            <w:tcW w:w="1707" w:type="pct"/>
            <w:vAlign w:val="center"/>
          </w:tcPr>
          <w:p w14:paraId="4A9416F7" w14:textId="2354A970" w:rsidR="00F50A04" w:rsidRPr="00627D7E" w:rsidRDefault="00F50A04" w:rsidP="00627D7E">
            <w:pPr>
              <w:autoSpaceDE w:val="0"/>
              <w:autoSpaceDN w:val="0"/>
              <w:adjustRightInd w:val="0"/>
              <w:spacing w:line="276" w:lineRule="auto"/>
              <w:jc w:val="both"/>
              <w:rPr>
                <w:rFonts w:ascii="Century Gothic" w:hAnsi="Century Gothic"/>
                <w:sz w:val="16"/>
                <w:szCs w:val="16"/>
              </w:rPr>
            </w:pPr>
            <w:r w:rsidRPr="00627D7E">
              <w:rPr>
                <w:rFonts w:ascii="Century Gothic" w:hAnsi="Century Gothic"/>
                <w:sz w:val="16"/>
                <w:szCs w:val="16"/>
              </w:rPr>
              <w:t>Laura Daniela Ballen Moreno</w:t>
            </w:r>
          </w:p>
        </w:tc>
        <w:tc>
          <w:tcPr>
            <w:tcW w:w="1075" w:type="pct"/>
            <w:vAlign w:val="center"/>
          </w:tcPr>
          <w:p w14:paraId="2E41D461" w14:textId="77777777" w:rsidR="00F50A04" w:rsidRPr="00627D7E" w:rsidRDefault="00F50A04" w:rsidP="00627D7E">
            <w:pPr>
              <w:autoSpaceDE w:val="0"/>
              <w:autoSpaceDN w:val="0"/>
              <w:adjustRightInd w:val="0"/>
              <w:spacing w:line="276" w:lineRule="auto"/>
              <w:jc w:val="both"/>
              <w:rPr>
                <w:rFonts w:ascii="Century Gothic" w:hAnsi="Century Gothic"/>
                <w:sz w:val="16"/>
                <w:szCs w:val="16"/>
              </w:rPr>
            </w:pPr>
          </w:p>
        </w:tc>
        <w:tc>
          <w:tcPr>
            <w:tcW w:w="1419" w:type="pct"/>
            <w:vAlign w:val="center"/>
          </w:tcPr>
          <w:p w14:paraId="2E7D4E21" w14:textId="490F61E6" w:rsidR="00F50A04" w:rsidRPr="00627D7E" w:rsidRDefault="00F50A04" w:rsidP="00627D7E">
            <w:pPr>
              <w:autoSpaceDE w:val="0"/>
              <w:autoSpaceDN w:val="0"/>
              <w:adjustRightInd w:val="0"/>
              <w:spacing w:line="276" w:lineRule="auto"/>
              <w:jc w:val="both"/>
              <w:rPr>
                <w:rFonts w:ascii="Century Gothic" w:hAnsi="Century Gothic"/>
                <w:sz w:val="16"/>
                <w:szCs w:val="16"/>
              </w:rPr>
            </w:pPr>
            <w:r w:rsidRPr="00627D7E">
              <w:rPr>
                <w:rFonts w:ascii="Century Gothic" w:hAnsi="Century Gothic"/>
                <w:sz w:val="16"/>
                <w:szCs w:val="16"/>
              </w:rPr>
              <w:t xml:space="preserve">Gestión </w:t>
            </w:r>
            <w:r w:rsidR="00656E1B" w:rsidRPr="00627D7E">
              <w:rPr>
                <w:rFonts w:ascii="Century Gothic" w:hAnsi="Century Gothic"/>
                <w:sz w:val="16"/>
                <w:szCs w:val="16"/>
              </w:rPr>
              <w:t>A</w:t>
            </w:r>
            <w:r w:rsidRPr="00627D7E">
              <w:rPr>
                <w:rFonts w:ascii="Century Gothic" w:hAnsi="Century Gothic"/>
                <w:sz w:val="16"/>
                <w:szCs w:val="16"/>
              </w:rPr>
              <w:t>dministrativa</w:t>
            </w:r>
          </w:p>
        </w:tc>
      </w:tr>
      <w:tr w:rsidR="00F50A04" w:rsidRPr="00627D7E" w14:paraId="104FF48F" w14:textId="77777777" w:rsidTr="004E6B85">
        <w:trPr>
          <w:trHeight w:val="181"/>
        </w:trPr>
        <w:tc>
          <w:tcPr>
            <w:tcW w:w="799" w:type="pct"/>
            <w:vMerge/>
            <w:vAlign w:val="center"/>
          </w:tcPr>
          <w:p w14:paraId="55402B16" w14:textId="77777777" w:rsidR="00F50A04" w:rsidRPr="00627D7E" w:rsidRDefault="00F50A04" w:rsidP="00627D7E">
            <w:pPr>
              <w:autoSpaceDE w:val="0"/>
              <w:autoSpaceDN w:val="0"/>
              <w:adjustRightInd w:val="0"/>
              <w:spacing w:line="276" w:lineRule="auto"/>
              <w:jc w:val="both"/>
              <w:rPr>
                <w:rFonts w:ascii="Century Gothic" w:hAnsi="Century Gothic" w:cs="Arial"/>
                <w:b/>
                <w:bCs/>
                <w:sz w:val="16"/>
                <w:szCs w:val="16"/>
              </w:rPr>
            </w:pPr>
          </w:p>
        </w:tc>
        <w:tc>
          <w:tcPr>
            <w:tcW w:w="1707" w:type="pct"/>
            <w:vAlign w:val="center"/>
          </w:tcPr>
          <w:p w14:paraId="19C1DFBC" w14:textId="69F16A9D" w:rsidR="00F50A04" w:rsidRPr="00627D7E" w:rsidRDefault="00F50A04" w:rsidP="00627D7E">
            <w:pPr>
              <w:autoSpaceDE w:val="0"/>
              <w:autoSpaceDN w:val="0"/>
              <w:adjustRightInd w:val="0"/>
              <w:spacing w:line="276" w:lineRule="auto"/>
              <w:jc w:val="both"/>
              <w:rPr>
                <w:rFonts w:ascii="Century Gothic" w:hAnsi="Century Gothic" w:cs="Arial"/>
                <w:sz w:val="16"/>
                <w:szCs w:val="16"/>
              </w:rPr>
            </w:pPr>
            <w:r w:rsidRPr="00627D7E">
              <w:rPr>
                <w:rFonts w:ascii="Century Gothic" w:hAnsi="Century Gothic" w:cs="Arial"/>
                <w:sz w:val="16"/>
                <w:szCs w:val="16"/>
              </w:rPr>
              <w:t>Roxan Elena González Tapia</w:t>
            </w:r>
          </w:p>
        </w:tc>
        <w:tc>
          <w:tcPr>
            <w:tcW w:w="1075" w:type="pct"/>
            <w:vAlign w:val="center"/>
          </w:tcPr>
          <w:p w14:paraId="3DB0E2A0" w14:textId="77777777" w:rsidR="00F50A04" w:rsidRPr="00627D7E" w:rsidRDefault="00F50A04" w:rsidP="00627D7E">
            <w:pPr>
              <w:autoSpaceDE w:val="0"/>
              <w:autoSpaceDN w:val="0"/>
              <w:adjustRightInd w:val="0"/>
              <w:spacing w:line="276" w:lineRule="auto"/>
              <w:jc w:val="both"/>
              <w:rPr>
                <w:rFonts w:ascii="Century Gothic" w:hAnsi="Century Gothic"/>
                <w:sz w:val="16"/>
                <w:szCs w:val="16"/>
              </w:rPr>
            </w:pPr>
          </w:p>
        </w:tc>
        <w:tc>
          <w:tcPr>
            <w:tcW w:w="1419" w:type="pct"/>
            <w:vAlign w:val="center"/>
          </w:tcPr>
          <w:p w14:paraId="45F2D7DC" w14:textId="189803A4" w:rsidR="00F50A04" w:rsidRPr="00627D7E" w:rsidRDefault="00F50A04" w:rsidP="00627D7E">
            <w:pPr>
              <w:autoSpaceDE w:val="0"/>
              <w:autoSpaceDN w:val="0"/>
              <w:adjustRightInd w:val="0"/>
              <w:spacing w:line="276" w:lineRule="auto"/>
              <w:jc w:val="both"/>
              <w:rPr>
                <w:rFonts w:ascii="Century Gothic" w:hAnsi="Century Gothic" w:cs="Arial"/>
                <w:sz w:val="16"/>
                <w:szCs w:val="16"/>
              </w:rPr>
            </w:pPr>
            <w:r w:rsidRPr="00627D7E">
              <w:rPr>
                <w:rFonts w:ascii="Century Gothic" w:hAnsi="Century Gothic" w:cs="Arial"/>
                <w:sz w:val="16"/>
                <w:szCs w:val="16"/>
              </w:rPr>
              <w:t xml:space="preserve">Gestión </w:t>
            </w:r>
            <w:r w:rsidR="00656E1B" w:rsidRPr="00627D7E">
              <w:rPr>
                <w:rFonts w:ascii="Century Gothic" w:hAnsi="Century Gothic" w:cs="Arial"/>
                <w:sz w:val="16"/>
                <w:szCs w:val="16"/>
              </w:rPr>
              <w:t>J</w:t>
            </w:r>
            <w:r w:rsidRPr="00627D7E">
              <w:rPr>
                <w:rFonts w:ascii="Century Gothic" w:hAnsi="Century Gothic" w:cs="Arial"/>
                <w:sz w:val="16"/>
                <w:szCs w:val="16"/>
              </w:rPr>
              <w:t>urídica</w:t>
            </w:r>
          </w:p>
        </w:tc>
      </w:tr>
      <w:tr w:rsidR="00301F6C" w:rsidRPr="00627D7E" w14:paraId="27450E40" w14:textId="77777777" w:rsidTr="004E6B85">
        <w:trPr>
          <w:trHeight w:val="70"/>
        </w:trPr>
        <w:tc>
          <w:tcPr>
            <w:tcW w:w="799" w:type="pct"/>
            <w:vAlign w:val="center"/>
          </w:tcPr>
          <w:p w14:paraId="289822FC" w14:textId="067EAB05" w:rsidR="00301F6C" w:rsidRPr="00F902BB" w:rsidRDefault="00301F6C" w:rsidP="00627D7E">
            <w:pPr>
              <w:autoSpaceDE w:val="0"/>
              <w:autoSpaceDN w:val="0"/>
              <w:adjustRightInd w:val="0"/>
              <w:spacing w:line="276" w:lineRule="auto"/>
              <w:jc w:val="both"/>
              <w:rPr>
                <w:rFonts w:ascii="Century Gothic" w:hAnsi="Century Gothic"/>
                <w:b/>
                <w:bCs/>
                <w:sz w:val="16"/>
                <w:szCs w:val="16"/>
                <w:highlight w:val="yellow"/>
              </w:rPr>
            </w:pPr>
            <w:r w:rsidRPr="00F902BB">
              <w:rPr>
                <w:rFonts w:ascii="Century Gothic" w:hAnsi="Century Gothic"/>
                <w:b/>
                <w:sz w:val="16"/>
                <w:szCs w:val="16"/>
                <w:highlight w:val="yellow"/>
              </w:rPr>
              <w:t xml:space="preserve">Revisó </w:t>
            </w:r>
          </w:p>
        </w:tc>
        <w:tc>
          <w:tcPr>
            <w:tcW w:w="1707" w:type="pct"/>
          </w:tcPr>
          <w:p w14:paraId="6F82D61D" w14:textId="05E55522" w:rsidR="00301F6C" w:rsidRPr="00F902BB" w:rsidRDefault="00D332CE" w:rsidP="00627D7E">
            <w:pPr>
              <w:autoSpaceDE w:val="0"/>
              <w:autoSpaceDN w:val="0"/>
              <w:adjustRightInd w:val="0"/>
              <w:spacing w:line="276" w:lineRule="auto"/>
              <w:jc w:val="both"/>
              <w:rPr>
                <w:rFonts w:ascii="Century Gothic" w:hAnsi="Century Gothic"/>
                <w:sz w:val="16"/>
                <w:szCs w:val="16"/>
                <w:highlight w:val="yellow"/>
              </w:rPr>
            </w:pPr>
            <w:r w:rsidRPr="00F902BB">
              <w:rPr>
                <w:rFonts w:ascii="Century Gothic" w:hAnsi="Century Gothic"/>
                <w:sz w:val="16"/>
                <w:szCs w:val="16"/>
                <w:highlight w:val="yellow"/>
              </w:rPr>
              <w:t>Herson Yesid Arroyo Acevedo</w:t>
            </w:r>
          </w:p>
        </w:tc>
        <w:tc>
          <w:tcPr>
            <w:tcW w:w="1075" w:type="pct"/>
          </w:tcPr>
          <w:p w14:paraId="095D1C10" w14:textId="77777777" w:rsidR="00301F6C" w:rsidRPr="00F902BB" w:rsidRDefault="00301F6C" w:rsidP="00627D7E">
            <w:pPr>
              <w:autoSpaceDE w:val="0"/>
              <w:autoSpaceDN w:val="0"/>
              <w:adjustRightInd w:val="0"/>
              <w:spacing w:line="276" w:lineRule="auto"/>
              <w:jc w:val="both"/>
              <w:rPr>
                <w:rFonts w:ascii="Century Gothic" w:hAnsi="Century Gothic"/>
                <w:sz w:val="16"/>
                <w:szCs w:val="16"/>
                <w:highlight w:val="yellow"/>
              </w:rPr>
            </w:pPr>
          </w:p>
        </w:tc>
        <w:tc>
          <w:tcPr>
            <w:tcW w:w="1419" w:type="pct"/>
          </w:tcPr>
          <w:p w14:paraId="540A394C" w14:textId="6F834424" w:rsidR="00301F6C" w:rsidRPr="00F902BB" w:rsidRDefault="00BE4445" w:rsidP="00627D7E">
            <w:pPr>
              <w:autoSpaceDE w:val="0"/>
              <w:autoSpaceDN w:val="0"/>
              <w:adjustRightInd w:val="0"/>
              <w:spacing w:line="276" w:lineRule="auto"/>
              <w:jc w:val="both"/>
              <w:rPr>
                <w:rFonts w:ascii="Century Gothic" w:hAnsi="Century Gothic"/>
                <w:sz w:val="16"/>
                <w:szCs w:val="16"/>
                <w:highlight w:val="yellow"/>
              </w:rPr>
            </w:pPr>
            <w:r w:rsidRPr="00F902BB">
              <w:rPr>
                <w:rFonts w:ascii="Century Gothic" w:hAnsi="Century Gothic" w:cs="Arial"/>
                <w:sz w:val="16"/>
                <w:szCs w:val="16"/>
                <w:highlight w:val="yellow"/>
              </w:rPr>
              <w:t>Asesor</w:t>
            </w:r>
            <w:r w:rsidR="004E6B85" w:rsidRPr="00F902BB">
              <w:rPr>
                <w:rFonts w:ascii="Century Gothic" w:hAnsi="Century Gothic" w:cs="Arial"/>
                <w:sz w:val="16"/>
                <w:szCs w:val="16"/>
                <w:highlight w:val="yellow"/>
              </w:rPr>
              <w:t xml:space="preserve"> - Gestión</w:t>
            </w:r>
            <w:r w:rsidRPr="00F902BB">
              <w:rPr>
                <w:rFonts w:ascii="Century Gothic" w:hAnsi="Century Gothic" w:cs="Arial"/>
                <w:sz w:val="16"/>
                <w:szCs w:val="16"/>
                <w:highlight w:val="yellow"/>
              </w:rPr>
              <w:t xml:space="preserve"> Jurídico</w:t>
            </w:r>
          </w:p>
        </w:tc>
      </w:tr>
      <w:tr w:rsidR="00301F6C" w:rsidRPr="00627D7E" w14:paraId="04CE459B" w14:textId="77777777" w:rsidTr="001B1AC9">
        <w:trPr>
          <w:trHeight w:val="312"/>
        </w:trPr>
        <w:tc>
          <w:tcPr>
            <w:tcW w:w="5000" w:type="pct"/>
            <w:gridSpan w:val="4"/>
            <w:vAlign w:val="center"/>
          </w:tcPr>
          <w:p w14:paraId="1F406779" w14:textId="5B8B9289" w:rsidR="00301F6C" w:rsidRPr="00627D7E" w:rsidRDefault="00301F6C" w:rsidP="00627D7E">
            <w:pPr>
              <w:autoSpaceDE w:val="0"/>
              <w:autoSpaceDN w:val="0"/>
              <w:adjustRightInd w:val="0"/>
              <w:spacing w:line="276" w:lineRule="auto"/>
              <w:jc w:val="both"/>
              <w:rPr>
                <w:rFonts w:ascii="Century Gothic" w:hAnsi="Century Gothic"/>
                <w:sz w:val="16"/>
                <w:szCs w:val="16"/>
              </w:rPr>
            </w:pPr>
            <w:r w:rsidRPr="00627D7E">
              <w:rPr>
                <w:rFonts w:ascii="Century Gothic" w:eastAsia="Calibri" w:hAnsi="Century Gothic"/>
                <w:sz w:val="16"/>
                <w:szCs w:val="16"/>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41DE06D6" w14:textId="5B8BA0E1" w:rsidR="008608F4" w:rsidRPr="00627D7E" w:rsidRDefault="008608F4" w:rsidP="00627D7E">
      <w:pPr>
        <w:spacing w:after="0" w:line="276" w:lineRule="auto"/>
        <w:jc w:val="both"/>
        <w:rPr>
          <w:rFonts w:ascii="Century Gothic" w:hAnsi="Century Gothic"/>
        </w:rPr>
      </w:pPr>
    </w:p>
    <w:sectPr w:rsidR="008608F4" w:rsidRPr="00627D7E" w:rsidSect="00773E7E">
      <w:headerReference w:type="even" r:id="rId12"/>
      <w:headerReference w:type="default" r:id="rId13"/>
      <w:footerReference w:type="default" r:id="rId14"/>
      <w:headerReference w:type="first" r:id="rId15"/>
      <w:pgSz w:w="11906" w:h="16838" w:code="9"/>
      <w:pgMar w:top="1843" w:right="1133" w:bottom="426" w:left="992" w:header="340" w:footer="90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ugo Palacios" w:date="2026-07-24T10:00:00Z" w:initials="HP">
    <w:p w14:paraId="7AB66320" w14:textId="77777777" w:rsidR="00CD36AE" w:rsidRDefault="00CD36AE" w:rsidP="00CD36AE">
      <w:r>
        <w:rPr>
          <w:rStyle w:val="Refdecomentario"/>
        </w:rPr>
        <w:annotationRef/>
      </w:r>
      <w:r>
        <w:rPr>
          <w:sz w:val="20"/>
          <w:szCs w:val="20"/>
        </w:rPr>
        <w:t>teniendo en cuenta el considerando sugiero indicar si se socializó o si no existen organizaciones tambien manifestarlo</w:t>
      </w:r>
    </w:p>
  </w:comment>
  <w:comment w:id="1" w:author="Hugo Palacios" w:date="2026-07-24T09:43:00Z" w:initials="HP">
    <w:p w14:paraId="2CC50D08" w14:textId="77777777" w:rsidR="00AB7509" w:rsidRDefault="00AB7509" w:rsidP="00AB7509">
      <w:r>
        <w:rPr>
          <w:rStyle w:val="Refdecomentario"/>
        </w:rPr>
        <w:annotationRef/>
      </w:r>
      <w:r>
        <w:rPr>
          <w:sz w:val="20"/>
          <w:szCs w:val="20"/>
        </w:rPr>
        <w:t>sugiero que se indique estatutariamente la atribucion de la junta para aprobar esta actualizacion</w:t>
      </w:r>
    </w:p>
  </w:comment>
  <w:comment w:id="2" w:author="Hugo Palacios" w:date="2026-07-24T10:07:00Z" w:initials="HP">
    <w:p w14:paraId="199FFFD4" w14:textId="77777777" w:rsidR="003634CF" w:rsidRDefault="003634CF" w:rsidP="003634CF">
      <w:r>
        <w:rPr>
          <w:rStyle w:val="Refdecomentario"/>
        </w:rPr>
        <w:annotationRef/>
      </w:r>
      <w:r>
        <w:rPr>
          <w:sz w:val="20"/>
          <w:szCs w:val="20"/>
        </w:rPr>
        <w:t>Sugiero incluir un considerando respecto a que no hay impacto fiscal en la decisión</w:t>
      </w:r>
    </w:p>
  </w:comment>
  <w:comment w:id="3" w:author="Hugo Palacios" w:date="2026-07-24T10:02:00Z" w:initials="HP">
    <w:p w14:paraId="71DD0966" w14:textId="77777777" w:rsidR="00CD36AE" w:rsidRDefault="00CD36AE" w:rsidP="00CD36AE">
      <w:r>
        <w:rPr>
          <w:rStyle w:val="Refdecomentario"/>
        </w:rPr>
        <w:annotationRef/>
      </w:r>
      <w:r>
        <w:rPr>
          <w:sz w:val="20"/>
          <w:szCs w:val="20"/>
        </w:rPr>
        <w:t>indicar que fue resultado de un estudio tecnico de fecha xxx el cual hace parte integral del acuerdo</w:t>
      </w:r>
    </w:p>
  </w:comment>
  <w:comment w:id="4" w:author="Hugo Palacios" w:date="2026-07-24T10:05:00Z" w:initials="HP">
    <w:p w14:paraId="650B0E5A" w14:textId="77777777" w:rsidR="003634CF" w:rsidRDefault="003634CF" w:rsidP="003634CF">
      <w:r>
        <w:rPr>
          <w:rStyle w:val="Refdecomentario"/>
        </w:rPr>
        <w:annotationRef/>
      </w:r>
      <w:r>
        <w:rPr>
          <w:sz w:val="20"/>
          <w:szCs w:val="20"/>
        </w:rPr>
        <w:t>la resolucion 032 la deroga es la nueva resolucion que se expida y no este acuerdo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B66320" w15:done="0"/>
  <w15:commentEx w15:paraId="2CC50D08" w15:done="0"/>
  <w15:commentEx w15:paraId="199FFFD4" w15:done="0"/>
  <w15:commentEx w15:paraId="71DD0966" w15:done="0"/>
  <w15:commentEx w15:paraId="650B0E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F9D33B" w16cex:dateUtc="2026-07-24T15:00:00Z"/>
  <w16cex:commentExtensible w16cex:durableId="6C9727A2" w16cex:dateUtc="2026-07-24T14:43:00Z"/>
  <w16cex:commentExtensible w16cex:durableId="510D8B4E" w16cex:dateUtc="2026-07-24T15:07:00Z"/>
  <w16cex:commentExtensible w16cex:durableId="2CEBF0C1" w16cex:dateUtc="2026-07-24T15:02:00Z"/>
  <w16cex:commentExtensible w16cex:durableId="243F4819" w16cex:dateUtc="2026-07-24T1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B66320" w16cid:durableId="3DF9D33B"/>
  <w16cid:commentId w16cid:paraId="2CC50D08" w16cid:durableId="6C9727A2"/>
  <w16cid:commentId w16cid:paraId="199FFFD4" w16cid:durableId="510D8B4E"/>
  <w16cid:commentId w16cid:paraId="71DD0966" w16cid:durableId="2CEBF0C1"/>
  <w16cid:commentId w16cid:paraId="650B0E5A" w16cid:durableId="243F48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49165" w14:textId="77777777" w:rsidR="00104120" w:rsidRDefault="00104120" w:rsidP="00472CFD">
      <w:pPr>
        <w:spacing w:after="0" w:line="240" w:lineRule="auto"/>
      </w:pPr>
      <w:r>
        <w:separator/>
      </w:r>
    </w:p>
  </w:endnote>
  <w:endnote w:type="continuationSeparator" w:id="0">
    <w:p w14:paraId="2B87FCAA" w14:textId="77777777" w:rsidR="00104120" w:rsidRDefault="00104120" w:rsidP="00472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603194"/>
      <w:docPartObj>
        <w:docPartGallery w:val="Page Numbers (Bottom of Page)"/>
        <w:docPartUnique/>
      </w:docPartObj>
    </w:sdtPr>
    <w:sdtContent>
      <w:p w14:paraId="1BFAF6D7" w14:textId="4C01A494" w:rsidR="00BE4445" w:rsidRDefault="00BE4445" w:rsidP="00BE4445">
        <w:pPr>
          <w:pStyle w:val="Piedepgina"/>
          <w:jc w:val="right"/>
        </w:pPr>
        <w:r w:rsidRPr="00BE4445">
          <w:t xml:space="preserve"> </w:t>
        </w:r>
        <w:sdt>
          <w:sdtPr>
            <w:id w:val="-1769616900"/>
            <w:docPartObj>
              <w:docPartGallery w:val="Page Numbers (Top of Page)"/>
              <w:docPartUnique/>
            </w:docPartObj>
          </w:sdtPr>
          <w:sdtContent>
            <w:r>
              <w:rPr>
                <w:lang w:val="es-ES"/>
              </w:rPr>
              <w:t xml:space="preserve">Página </w:t>
            </w:r>
            <w:r>
              <w:rPr>
                <w:b/>
                <w:bCs/>
              </w:rPr>
              <w:fldChar w:fldCharType="begin"/>
            </w:r>
            <w:r>
              <w:rPr>
                <w:b/>
                <w:bCs/>
              </w:rPr>
              <w:instrText>PAGE</w:instrText>
            </w:r>
            <w:r>
              <w:rPr>
                <w:b/>
                <w:bCs/>
              </w:rPr>
              <w:fldChar w:fldCharType="separate"/>
            </w:r>
            <w:r w:rsidR="00315CA8">
              <w:rPr>
                <w:b/>
                <w:bCs/>
                <w:noProof/>
              </w:rPr>
              <w:t>7</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315CA8">
              <w:rPr>
                <w:b/>
                <w:bCs/>
                <w:noProof/>
              </w:rPr>
              <w:t>7</w:t>
            </w:r>
            <w:r>
              <w:rPr>
                <w:b/>
                <w:bCs/>
              </w:rPr>
              <w:fldChar w:fldCharType="end"/>
            </w:r>
          </w:sdtContent>
        </w:sdt>
      </w:p>
      <w:p w14:paraId="2F96AA76" w14:textId="25C4CC6E" w:rsidR="00A158C7" w:rsidRDefault="00BE4445">
        <w:pPr>
          <w:pStyle w:val="Piedepgina"/>
          <w:jc w:val="center"/>
        </w:pPr>
        <w:r>
          <w:rPr>
            <w:noProof/>
            <w:lang w:eastAsia="es-CO"/>
          </w:rPr>
          <w:drawing>
            <wp:anchor distT="0" distB="0" distL="0" distR="0" simplePos="0" relativeHeight="251675648" behindDoc="1" locked="0" layoutInCell="1" allowOverlap="1" wp14:anchorId="02C19916" wp14:editId="105EBB69">
              <wp:simplePos x="0" y="0"/>
              <wp:positionH relativeFrom="page">
                <wp:align>center</wp:align>
              </wp:positionH>
              <wp:positionV relativeFrom="paragraph">
                <wp:posOffset>131445</wp:posOffset>
              </wp:positionV>
              <wp:extent cx="7391400" cy="70993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noChangeArrowheads="1"/>
                      </pic:cNvPicPr>
                    </pic:nvPicPr>
                    <pic:blipFill>
                      <a:blip r:embed="rId1"/>
                      <a:stretch>
                        <a:fillRect/>
                      </a:stretch>
                    </pic:blipFill>
                    <pic:spPr bwMode="auto">
                      <a:xfrm>
                        <a:off x="0" y="0"/>
                        <a:ext cx="7391400" cy="709930"/>
                      </a:xfrm>
                      <a:prstGeom prst="rect">
                        <a:avLst/>
                      </a:prstGeom>
                    </pic:spPr>
                  </pic:pic>
                </a:graphicData>
              </a:graphic>
              <wp14:sizeRelH relativeFrom="margin">
                <wp14:pctWidth>0</wp14:pctWidth>
              </wp14:sizeRelH>
            </wp:anchor>
          </w:drawing>
        </w:r>
      </w:p>
    </w:sdtContent>
  </w:sdt>
  <w:p w14:paraId="7E39C02A" w14:textId="185637A5" w:rsidR="00EB55EE" w:rsidRDefault="00EB55E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3087" w14:textId="77777777" w:rsidR="00104120" w:rsidRDefault="00104120" w:rsidP="00472CFD">
      <w:pPr>
        <w:spacing w:after="0" w:line="240" w:lineRule="auto"/>
      </w:pPr>
      <w:r>
        <w:separator/>
      </w:r>
    </w:p>
  </w:footnote>
  <w:footnote w:type="continuationSeparator" w:id="0">
    <w:p w14:paraId="06E68B5E" w14:textId="77777777" w:rsidR="00104120" w:rsidRDefault="00104120" w:rsidP="00472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FBCD" w14:textId="792C4DA2" w:rsidR="00407E16" w:rsidRDefault="00104120">
    <w:pPr>
      <w:pStyle w:val="Encabezado"/>
    </w:pPr>
    <w:r>
      <w:rPr>
        <w:noProof/>
      </w:rPr>
      <w:pict w14:anchorId="3291D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4427860" o:spid="_x0000_s1027" type="#_x0000_t75" alt="" style="position:absolute;margin-left:0;margin-top:0;width:565.25pt;height:401.5pt;z-index:-251650048;mso-wrap-edited:f;mso-width-percent:0;mso-height-percent:0;mso-position-horizontal:center;mso-position-horizontal-relative:margin;mso-position-vertical:center;mso-position-vertical-relative:margin;mso-width-percent:0;mso-height-percent:0" o:allowincell="f">
          <v:imagedata r:id="rId1" o:title="g66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C0424" w14:textId="498FD212" w:rsidR="00EB55EE" w:rsidRDefault="00BE4445" w:rsidP="003A3A7A">
    <w:pPr>
      <w:pStyle w:val="Encabezado"/>
      <w:ind w:left="-964"/>
    </w:pPr>
    <w:r>
      <w:rPr>
        <w:noProof/>
        <w:lang w:eastAsia="es-CO"/>
      </w:rPr>
      <w:drawing>
        <wp:anchor distT="0" distB="0" distL="0" distR="0" simplePos="0" relativeHeight="251673600" behindDoc="0" locked="0" layoutInCell="0" allowOverlap="1" wp14:anchorId="2D7ADF39" wp14:editId="10C8CE9C">
          <wp:simplePos x="0" y="0"/>
          <wp:positionH relativeFrom="column">
            <wp:posOffset>5837555</wp:posOffset>
          </wp:positionH>
          <wp:positionV relativeFrom="paragraph">
            <wp:posOffset>-177799</wp:posOffset>
          </wp:positionV>
          <wp:extent cx="1050925" cy="739618"/>
          <wp:effectExtent l="0" t="0" r="0" b="3810"/>
          <wp:wrapNone/>
          <wp:docPr id="5" name="Imagen1"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n1" descr="Imagen que contiene Logotipo&#10;&#10;El contenido generado por IA puede ser incorrecto."/>
                  <pic:cNvPicPr>
                    <a:picLocks noChangeAspect="1" noChangeArrowheads="1"/>
                  </pic:cNvPicPr>
                </pic:nvPicPr>
                <pic:blipFill>
                  <a:blip r:embed="rId1"/>
                  <a:stretch>
                    <a:fillRect/>
                  </a:stretch>
                </pic:blipFill>
                <pic:spPr bwMode="auto">
                  <a:xfrm>
                    <a:off x="0" y="0"/>
                    <a:ext cx="1053107" cy="741154"/>
                  </a:xfrm>
                  <a:prstGeom prst="rect">
                    <a:avLst/>
                  </a:prstGeom>
                </pic:spPr>
              </pic:pic>
            </a:graphicData>
          </a:graphic>
          <wp14:sizeRelH relativeFrom="margin">
            <wp14:pctWidth>0</wp14:pctWidth>
          </wp14:sizeRelH>
          <wp14:sizeRelV relativeFrom="margin">
            <wp14:pctHeight>0</wp14:pctHeight>
          </wp14:sizeRelV>
        </wp:anchor>
      </w:drawing>
    </w:r>
    <w:r w:rsidR="00104120">
      <w:rPr>
        <w:noProof/>
      </w:rPr>
      <w:pict w14:anchorId="614C2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4427861" o:spid="_x0000_s1026" type="#_x0000_t75" alt="" style="position:absolute;left:0;text-align:left;margin-left:17.4pt;margin-top:124.45pt;width:463.9pt;height:329.5pt;z-index:-251649024;mso-wrap-edited:f;mso-width-percent:0;mso-height-percent:0;mso-position-horizontal-relative:margin;mso-position-vertical-relative:margin;mso-width-percent:0;mso-height-percent:0" o:allowincell="f">
          <v:imagedata r:id="rId2" o:title="g66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AA831" w14:textId="3CEDA37A" w:rsidR="00407E16" w:rsidRDefault="00104120">
    <w:pPr>
      <w:pStyle w:val="Encabezado"/>
    </w:pPr>
    <w:r>
      <w:rPr>
        <w:noProof/>
      </w:rPr>
      <w:pict w14:anchorId="7E2F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4427859" o:spid="_x0000_s1025" type="#_x0000_t75" alt="" style="position:absolute;margin-left:0;margin-top:0;width:565.25pt;height:401.5pt;z-index:-251651072;mso-wrap-edited:f;mso-width-percent:0;mso-height-percent:0;mso-position-horizontal:center;mso-position-horizontal-relative:margin;mso-position-vertical:center;mso-position-vertical-relative:margin;mso-width-percent:0;mso-height-percent:0" o:allowincell="f">
          <v:imagedata r:id="rId1" o:title="g662-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0ECF"/>
    <w:multiLevelType w:val="multilevel"/>
    <w:tmpl w:val="85520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A527B3"/>
    <w:multiLevelType w:val="hybridMultilevel"/>
    <w:tmpl w:val="192892E2"/>
    <w:lvl w:ilvl="0" w:tplc="33C437A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6EE0250"/>
    <w:multiLevelType w:val="hybridMultilevel"/>
    <w:tmpl w:val="9014F15C"/>
    <w:lvl w:ilvl="0" w:tplc="C8C6048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2DA5A49"/>
    <w:multiLevelType w:val="multilevel"/>
    <w:tmpl w:val="E1B0A5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B26C56"/>
    <w:multiLevelType w:val="multilevel"/>
    <w:tmpl w:val="E59C53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513888"/>
    <w:multiLevelType w:val="hybridMultilevel"/>
    <w:tmpl w:val="D2F46A36"/>
    <w:lvl w:ilvl="0" w:tplc="C8247F9E">
      <w:start w:val="1"/>
      <w:numFmt w:val="decimal"/>
      <w:lvlText w:val="%1."/>
      <w:lvlJc w:val="left"/>
      <w:pPr>
        <w:ind w:left="1788"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num w:numId="1" w16cid:durableId="18630933">
    <w:abstractNumId w:val="5"/>
  </w:num>
  <w:num w:numId="2" w16cid:durableId="1851480585">
    <w:abstractNumId w:val="2"/>
  </w:num>
  <w:num w:numId="3" w16cid:durableId="1362050402">
    <w:abstractNumId w:val="0"/>
  </w:num>
  <w:num w:numId="4" w16cid:durableId="666055315">
    <w:abstractNumId w:val="4"/>
  </w:num>
  <w:num w:numId="5" w16cid:durableId="1314262296">
    <w:abstractNumId w:val="3"/>
  </w:num>
  <w:num w:numId="6" w16cid:durableId="8721831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CFD"/>
    <w:rsid w:val="00002ECC"/>
    <w:rsid w:val="00007B68"/>
    <w:rsid w:val="000159A4"/>
    <w:rsid w:val="000176D5"/>
    <w:rsid w:val="0002211E"/>
    <w:rsid w:val="000239F2"/>
    <w:rsid w:val="00054D1D"/>
    <w:rsid w:val="00057413"/>
    <w:rsid w:val="000679C8"/>
    <w:rsid w:val="00096AE7"/>
    <w:rsid w:val="000A161D"/>
    <w:rsid w:val="000C33B1"/>
    <w:rsid w:val="000C5353"/>
    <w:rsid w:val="000E1710"/>
    <w:rsid w:val="00100A6A"/>
    <w:rsid w:val="00101313"/>
    <w:rsid w:val="001028A1"/>
    <w:rsid w:val="00104120"/>
    <w:rsid w:val="00122E70"/>
    <w:rsid w:val="001252B2"/>
    <w:rsid w:val="0013309F"/>
    <w:rsid w:val="00141989"/>
    <w:rsid w:val="001557FA"/>
    <w:rsid w:val="00165730"/>
    <w:rsid w:val="00173A02"/>
    <w:rsid w:val="00173F38"/>
    <w:rsid w:val="00180132"/>
    <w:rsid w:val="0018066D"/>
    <w:rsid w:val="00180E2D"/>
    <w:rsid w:val="001B1346"/>
    <w:rsid w:val="001B1AC9"/>
    <w:rsid w:val="001B37F5"/>
    <w:rsid w:val="001B4A4C"/>
    <w:rsid w:val="001D761E"/>
    <w:rsid w:val="00203C5C"/>
    <w:rsid w:val="00233A4A"/>
    <w:rsid w:val="00240708"/>
    <w:rsid w:val="00241F94"/>
    <w:rsid w:val="002600DA"/>
    <w:rsid w:val="002A6041"/>
    <w:rsid w:val="00301F6C"/>
    <w:rsid w:val="00303AE7"/>
    <w:rsid w:val="003046DF"/>
    <w:rsid w:val="00315CA8"/>
    <w:rsid w:val="0032204A"/>
    <w:rsid w:val="003245E1"/>
    <w:rsid w:val="00336D8B"/>
    <w:rsid w:val="003533CA"/>
    <w:rsid w:val="00362FBC"/>
    <w:rsid w:val="003634CF"/>
    <w:rsid w:val="00364B13"/>
    <w:rsid w:val="003737D9"/>
    <w:rsid w:val="00375F51"/>
    <w:rsid w:val="003A0103"/>
    <w:rsid w:val="003A3A7A"/>
    <w:rsid w:val="003C3F29"/>
    <w:rsid w:val="003E3890"/>
    <w:rsid w:val="003E6FD8"/>
    <w:rsid w:val="00407E16"/>
    <w:rsid w:val="004104F3"/>
    <w:rsid w:val="00426DB6"/>
    <w:rsid w:val="004301F9"/>
    <w:rsid w:val="004312E8"/>
    <w:rsid w:val="004347F6"/>
    <w:rsid w:val="00443617"/>
    <w:rsid w:val="00450E18"/>
    <w:rsid w:val="00455F5B"/>
    <w:rsid w:val="004679C0"/>
    <w:rsid w:val="00472CFD"/>
    <w:rsid w:val="004760A6"/>
    <w:rsid w:val="0048761C"/>
    <w:rsid w:val="0049347F"/>
    <w:rsid w:val="00495D8E"/>
    <w:rsid w:val="004D0960"/>
    <w:rsid w:val="004E5F1B"/>
    <w:rsid w:val="004E6B85"/>
    <w:rsid w:val="004F049C"/>
    <w:rsid w:val="004F33A7"/>
    <w:rsid w:val="004F3E38"/>
    <w:rsid w:val="00514194"/>
    <w:rsid w:val="0051558F"/>
    <w:rsid w:val="00516A13"/>
    <w:rsid w:val="00527A9F"/>
    <w:rsid w:val="00542564"/>
    <w:rsid w:val="00554E5B"/>
    <w:rsid w:val="00555B18"/>
    <w:rsid w:val="00560542"/>
    <w:rsid w:val="00566BD6"/>
    <w:rsid w:val="0057721E"/>
    <w:rsid w:val="005A2ED2"/>
    <w:rsid w:val="005C1AF5"/>
    <w:rsid w:val="005C3934"/>
    <w:rsid w:val="005E5E8C"/>
    <w:rsid w:val="00604779"/>
    <w:rsid w:val="006064E1"/>
    <w:rsid w:val="00606855"/>
    <w:rsid w:val="00613624"/>
    <w:rsid w:val="006176C4"/>
    <w:rsid w:val="00623B19"/>
    <w:rsid w:val="00626A31"/>
    <w:rsid w:val="00627D7E"/>
    <w:rsid w:val="00631F96"/>
    <w:rsid w:val="006405AD"/>
    <w:rsid w:val="00643982"/>
    <w:rsid w:val="00656E1B"/>
    <w:rsid w:val="0066302B"/>
    <w:rsid w:val="006757B2"/>
    <w:rsid w:val="006831F9"/>
    <w:rsid w:val="00684285"/>
    <w:rsid w:val="006A5FD9"/>
    <w:rsid w:val="006C1D26"/>
    <w:rsid w:val="006D4901"/>
    <w:rsid w:val="0072236A"/>
    <w:rsid w:val="00722CE6"/>
    <w:rsid w:val="00722DA0"/>
    <w:rsid w:val="007446D1"/>
    <w:rsid w:val="00773E7E"/>
    <w:rsid w:val="00783F9A"/>
    <w:rsid w:val="00784BF5"/>
    <w:rsid w:val="007918C5"/>
    <w:rsid w:val="007A428B"/>
    <w:rsid w:val="007A6884"/>
    <w:rsid w:val="007B36D1"/>
    <w:rsid w:val="007C0E8D"/>
    <w:rsid w:val="007D25D1"/>
    <w:rsid w:val="007E0440"/>
    <w:rsid w:val="007E7FDB"/>
    <w:rsid w:val="007F3489"/>
    <w:rsid w:val="00801F84"/>
    <w:rsid w:val="00830BC3"/>
    <w:rsid w:val="0083137F"/>
    <w:rsid w:val="00833357"/>
    <w:rsid w:val="008608F4"/>
    <w:rsid w:val="008720C9"/>
    <w:rsid w:val="008806FA"/>
    <w:rsid w:val="00884D85"/>
    <w:rsid w:val="00892B63"/>
    <w:rsid w:val="008A4726"/>
    <w:rsid w:val="008B4599"/>
    <w:rsid w:val="008C74B8"/>
    <w:rsid w:val="008D44D1"/>
    <w:rsid w:val="008F0C3D"/>
    <w:rsid w:val="00914F51"/>
    <w:rsid w:val="00917271"/>
    <w:rsid w:val="00922AA6"/>
    <w:rsid w:val="00945486"/>
    <w:rsid w:val="00957E28"/>
    <w:rsid w:val="00962F8A"/>
    <w:rsid w:val="0097592D"/>
    <w:rsid w:val="009972B2"/>
    <w:rsid w:val="009A3A88"/>
    <w:rsid w:val="009B1BC5"/>
    <w:rsid w:val="009C376F"/>
    <w:rsid w:val="009C7497"/>
    <w:rsid w:val="009D3DA4"/>
    <w:rsid w:val="009E2BC7"/>
    <w:rsid w:val="009E502B"/>
    <w:rsid w:val="009E695F"/>
    <w:rsid w:val="009E6AB8"/>
    <w:rsid w:val="009F02FA"/>
    <w:rsid w:val="00A143EC"/>
    <w:rsid w:val="00A158C7"/>
    <w:rsid w:val="00A2734D"/>
    <w:rsid w:val="00A34EB9"/>
    <w:rsid w:val="00A41F84"/>
    <w:rsid w:val="00A72E48"/>
    <w:rsid w:val="00A76151"/>
    <w:rsid w:val="00A82FED"/>
    <w:rsid w:val="00A91ED0"/>
    <w:rsid w:val="00A96CD2"/>
    <w:rsid w:val="00A97BF5"/>
    <w:rsid w:val="00AA00F7"/>
    <w:rsid w:val="00AA35FF"/>
    <w:rsid w:val="00AB6A6A"/>
    <w:rsid w:val="00AB7509"/>
    <w:rsid w:val="00AC2C90"/>
    <w:rsid w:val="00AC4BC8"/>
    <w:rsid w:val="00AD02E8"/>
    <w:rsid w:val="00AD471E"/>
    <w:rsid w:val="00AD57EB"/>
    <w:rsid w:val="00AD7AAC"/>
    <w:rsid w:val="00AE43A6"/>
    <w:rsid w:val="00AF17EC"/>
    <w:rsid w:val="00B01E71"/>
    <w:rsid w:val="00B101B2"/>
    <w:rsid w:val="00B20670"/>
    <w:rsid w:val="00B3468D"/>
    <w:rsid w:val="00B41D3F"/>
    <w:rsid w:val="00B571B4"/>
    <w:rsid w:val="00B618B0"/>
    <w:rsid w:val="00B702D4"/>
    <w:rsid w:val="00B8183C"/>
    <w:rsid w:val="00B9308B"/>
    <w:rsid w:val="00B930DC"/>
    <w:rsid w:val="00B979D0"/>
    <w:rsid w:val="00BB5244"/>
    <w:rsid w:val="00BD1A07"/>
    <w:rsid w:val="00BD2CC2"/>
    <w:rsid w:val="00BE4445"/>
    <w:rsid w:val="00BF02ED"/>
    <w:rsid w:val="00C21864"/>
    <w:rsid w:val="00C23CA7"/>
    <w:rsid w:val="00C50405"/>
    <w:rsid w:val="00C53F6D"/>
    <w:rsid w:val="00C7273C"/>
    <w:rsid w:val="00C91F39"/>
    <w:rsid w:val="00CA280E"/>
    <w:rsid w:val="00CB081D"/>
    <w:rsid w:val="00CB4CC7"/>
    <w:rsid w:val="00CC2FFA"/>
    <w:rsid w:val="00CC7B78"/>
    <w:rsid w:val="00CD36AE"/>
    <w:rsid w:val="00CF23A3"/>
    <w:rsid w:val="00CF5BAF"/>
    <w:rsid w:val="00D332CE"/>
    <w:rsid w:val="00D46B12"/>
    <w:rsid w:val="00D521D8"/>
    <w:rsid w:val="00D705EE"/>
    <w:rsid w:val="00D7682B"/>
    <w:rsid w:val="00D953CE"/>
    <w:rsid w:val="00DA0F89"/>
    <w:rsid w:val="00DC22C6"/>
    <w:rsid w:val="00DC4FD1"/>
    <w:rsid w:val="00DC71A6"/>
    <w:rsid w:val="00DF4891"/>
    <w:rsid w:val="00E02382"/>
    <w:rsid w:val="00E255C2"/>
    <w:rsid w:val="00E26B2A"/>
    <w:rsid w:val="00E31D05"/>
    <w:rsid w:val="00E36300"/>
    <w:rsid w:val="00E4420C"/>
    <w:rsid w:val="00E445FA"/>
    <w:rsid w:val="00E73325"/>
    <w:rsid w:val="00E861EA"/>
    <w:rsid w:val="00EA690A"/>
    <w:rsid w:val="00EA7771"/>
    <w:rsid w:val="00EB0441"/>
    <w:rsid w:val="00EB55EE"/>
    <w:rsid w:val="00EC5420"/>
    <w:rsid w:val="00EC6580"/>
    <w:rsid w:val="00ED50B3"/>
    <w:rsid w:val="00EE6CC6"/>
    <w:rsid w:val="00F15132"/>
    <w:rsid w:val="00F25A83"/>
    <w:rsid w:val="00F50A04"/>
    <w:rsid w:val="00F56A19"/>
    <w:rsid w:val="00F610CD"/>
    <w:rsid w:val="00F62F05"/>
    <w:rsid w:val="00F902BB"/>
    <w:rsid w:val="00F95D05"/>
    <w:rsid w:val="00FA43A9"/>
    <w:rsid w:val="00FB2E2D"/>
    <w:rsid w:val="00FC1A85"/>
    <w:rsid w:val="00FC4DC3"/>
    <w:rsid w:val="00FD1A4C"/>
    <w:rsid w:val="00FD3EA4"/>
    <w:rsid w:val="00FF3A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3C9ED"/>
  <w15:chartTrackingRefBased/>
  <w15:docId w15:val="{DB86D8B9-980A-4F4E-A658-3681752A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2C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2CFD"/>
  </w:style>
  <w:style w:type="paragraph" w:styleId="Piedepgina">
    <w:name w:val="footer"/>
    <w:basedOn w:val="Normal"/>
    <w:link w:val="PiedepginaCar"/>
    <w:uiPriority w:val="99"/>
    <w:unhideWhenUsed/>
    <w:rsid w:val="00472C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2CFD"/>
  </w:style>
  <w:style w:type="paragraph" w:customStyle="1" w:styleId="Default">
    <w:name w:val="Default"/>
    <w:rsid w:val="008608F4"/>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
    <w:name w:val="Table Grid"/>
    <w:basedOn w:val="Tablanormal"/>
    <w:uiPriority w:val="39"/>
    <w:rsid w:val="00F15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 Car Car,Normal (Web) Car Car Car,Normal (Web) Car Car Car Car Car Car Car Car Car Car Car,Normal (Web) Car Car Car Car Car Car Car Car Car Car,Normal (Web) Car Car Car Car Car Car Car Car Car"/>
    <w:basedOn w:val="Normal"/>
    <w:link w:val="NormalWebCar"/>
    <w:uiPriority w:val="99"/>
    <w:unhideWhenUsed/>
    <w:qFormat/>
    <w:rsid w:val="0083137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NormalWebCar">
    <w:name w:val="Normal (Web) Car"/>
    <w:aliases w:val="Normal (Web) Car Car Car1,Normal (Web) Car Car Car Car Car Car,Normal (Web) Car Car Car Car,Normal (Web) Car Car Car Car Car Car Car Car Car Car Car Car,Normal (Web) Car Car Car Car Car Car Car Car Car Car Car1"/>
    <w:link w:val="NormalWeb"/>
    <w:uiPriority w:val="99"/>
    <w:rsid w:val="0083137F"/>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uiPriority w:val="99"/>
    <w:rsid w:val="0083137F"/>
    <w:pPr>
      <w:spacing w:after="120" w:line="240" w:lineRule="auto"/>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uiPriority w:val="99"/>
    <w:rsid w:val="0083137F"/>
    <w:rPr>
      <w:rFonts w:ascii="Times New Roman" w:eastAsia="Times New Roman" w:hAnsi="Times New Roman" w:cs="Times New Roman"/>
      <w:sz w:val="16"/>
      <w:szCs w:val="16"/>
      <w:lang w:eastAsia="es-ES"/>
    </w:rPr>
  </w:style>
  <w:style w:type="paragraph" w:styleId="Sinespaciado">
    <w:name w:val="No Spacing"/>
    <w:link w:val="SinespaciadoCar"/>
    <w:uiPriority w:val="1"/>
    <w:qFormat/>
    <w:rsid w:val="001028A1"/>
    <w:pPr>
      <w:spacing w:after="0" w:line="240" w:lineRule="auto"/>
    </w:pPr>
  </w:style>
  <w:style w:type="character" w:customStyle="1" w:styleId="SinespaciadoCar">
    <w:name w:val="Sin espaciado Car"/>
    <w:link w:val="Sinespaciado"/>
    <w:uiPriority w:val="1"/>
    <w:rsid w:val="001028A1"/>
  </w:style>
  <w:style w:type="paragraph" w:styleId="Prrafodelista">
    <w:name w:val="List Paragraph"/>
    <w:basedOn w:val="Normal"/>
    <w:uiPriority w:val="34"/>
    <w:qFormat/>
    <w:rsid w:val="00B571B4"/>
    <w:pPr>
      <w:ind w:left="720"/>
      <w:contextualSpacing/>
    </w:pPr>
  </w:style>
  <w:style w:type="character" w:styleId="Refdecomentario">
    <w:name w:val="annotation reference"/>
    <w:basedOn w:val="Fuentedeprrafopredeter"/>
    <w:uiPriority w:val="99"/>
    <w:semiHidden/>
    <w:unhideWhenUsed/>
    <w:rsid w:val="00AB7509"/>
    <w:rPr>
      <w:sz w:val="16"/>
      <w:szCs w:val="16"/>
    </w:rPr>
  </w:style>
  <w:style w:type="paragraph" w:styleId="Textocomentario">
    <w:name w:val="annotation text"/>
    <w:basedOn w:val="Normal"/>
    <w:link w:val="TextocomentarioCar"/>
    <w:uiPriority w:val="99"/>
    <w:semiHidden/>
    <w:unhideWhenUsed/>
    <w:rsid w:val="00AB750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B7509"/>
    <w:rPr>
      <w:sz w:val="20"/>
      <w:szCs w:val="20"/>
    </w:rPr>
  </w:style>
  <w:style w:type="paragraph" w:styleId="Asuntodelcomentario">
    <w:name w:val="annotation subject"/>
    <w:basedOn w:val="Textocomentario"/>
    <w:next w:val="Textocomentario"/>
    <w:link w:val="AsuntodelcomentarioCar"/>
    <w:uiPriority w:val="99"/>
    <w:semiHidden/>
    <w:unhideWhenUsed/>
    <w:rsid w:val="00AB7509"/>
    <w:rPr>
      <w:b/>
      <w:bCs/>
    </w:rPr>
  </w:style>
  <w:style w:type="character" w:customStyle="1" w:styleId="AsuntodelcomentarioCar">
    <w:name w:val="Asunto del comentario Car"/>
    <w:basedOn w:val="TextocomentarioCar"/>
    <w:link w:val="Asuntodelcomentario"/>
    <w:uiPriority w:val="99"/>
    <w:semiHidden/>
    <w:rsid w:val="00AB75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09876">
      <w:bodyDiv w:val="1"/>
      <w:marLeft w:val="0"/>
      <w:marRight w:val="0"/>
      <w:marTop w:val="0"/>
      <w:marBottom w:val="0"/>
      <w:divBdr>
        <w:top w:val="none" w:sz="0" w:space="0" w:color="auto"/>
        <w:left w:val="none" w:sz="0" w:space="0" w:color="auto"/>
        <w:bottom w:val="none" w:sz="0" w:space="0" w:color="auto"/>
        <w:right w:val="none" w:sz="0" w:space="0" w:color="auto"/>
      </w:divBdr>
    </w:div>
    <w:div w:id="96796760">
      <w:bodyDiv w:val="1"/>
      <w:marLeft w:val="0"/>
      <w:marRight w:val="0"/>
      <w:marTop w:val="0"/>
      <w:marBottom w:val="0"/>
      <w:divBdr>
        <w:top w:val="none" w:sz="0" w:space="0" w:color="auto"/>
        <w:left w:val="none" w:sz="0" w:space="0" w:color="auto"/>
        <w:bottom w:val="none" w:sz="0" w:space="0" w:color="auto"/>
        <w:right w:val="none" w:sz="0" w:space="0" w:color="auto"/>
      </w:divBdr>
    </w:div>
    <w:div w:id="152068937">
      <w:bodyDiv w:val="1"/>
      <w:marLeft w:val="0"/>
      <w:marRight w:val="0"/>
      <w:marTop w:val="0"/>
      <w:marBottom w:val="0"/>
      <w:divBdr>
        <w:top w:val="none" w:sz="0" w:space="0" w:color="auto"/>
        <w:left w:val="none" w:sz="0" w:space="0" w:color="auto"/>
        <w:bottom w:val="none" w:sz="0" w:space="0" w:color="auto"/>
        <w:right w:val="none" w:sz="0" w:space="0" w:color="auto"/>
      </w:divBdr>
    </w:div>
    <w:div w:id="187332612">
      <w:bodyDiv w:val="1"/>
      <w:marLeft w:val="0"/>
      <w:marRight w:val="0"/>
      <w:marTop w:val="0"/>
      <w:marBottom w:val="0"/>
      <w:divBdr>
        <w:top w:val="none" w:sz="0" w:space="0" w:color="auto"/>
        <w:left w:val="none" w:sz="0" w:space="0" w:color="auto"/>
        <w:bottom w:val="none" w:sz="0" w:space="0" w:color="auto"/>
        <w:right w:val="none" w:sz="0" w:space="0" w:color="auto"/>
      </w:divBdr>
    </w:div>
    <w:div w:id="310451992">
      <w:bodyDiv w:val="1"/>
      <w:marLeft w:val="0"/>
      <w:marRight w:val="0"/>
      <w:marTop w:val="0"/>
      <w:marBottom w:val="0"/>
      <w:divBdr>
        <w:top w:val="none" w:sz="0" w:space="0" w:color="auto"/>
        <w:left w:val="none" w:sz="0" w:space="0" w:color="auto"/>
        <w:bottom w:val="none" w:sz="0" w:space="0" w:color="auto"/>
        <w:right w:val="none" w:sz="0" w:space="0" w:color="auto"/>
      </w:divBdr>
    </w:div>
    <w:div w:id="310717759">
      <w:bodyDiv w:val="1"/>
      <w:marLeft w:val="0"/>
      <w:marRight w:val="0"/>
      <w:marTop w:val="0"/>
      <w:marBottom w:val="0"/>
      <w:divBdr>
        <w:top w:val="none" w:sz="0" w:space="0" w:color="auto"/>
        <w:left w:val="none" w:sz="0" w:space="0" w:color="auto"/>
        <w:bottom w:val="none" w:sz="0" w:space="0" w:color="auto"/>
        <w:right w:val="none" w:sz="0" w:space="0" w:color="auto"/>
      </w:divBdr>
    </w:div>
    <w:div w:id="472796338">
      <w:bodyDiv w:val="1"/>
      <w:marLeft w:val="0"/>
      <w:marRight w:val="0"/>
      <w:marTop w:val="0"/>
      <w:marBottom w:val="0"/>
      <w:divBdr>
        <w:top w:val="none" w:sz="0" w:space="0" w:color="auto"/>
        <w:left w:val="none" w:sz="0" w:space="0" w:color="auto"/>
        <w:bottom w:val="none" w:sz="0" w:space="0" w:color="auto"/>
        <w:right w:val="none" w:sz="0" w:space="0" w:color="auto"/>
      </w:divBdr>
      <w:divsChild>
        <w:div w:id="1256357704">
          <w:marLeft w:val="0"/>
          <w:marRight w:val="0"/>
          <w:marTop w:val="0"/>
          <w:marBottom w:val="0"/>
          <w:divBdr>
            <w:top w:val="none" w:sz="0" w:space="0" w:color="auto"/>
            <w:left w:val="none" w:sz="0" w:space="0" w:color="auto"/>
            <w:bottom w:val="none" w:sz="0" w:space="0" w:color="auto"/>
            <w:right w:val="none" w:sz="0" w:space="0" w:color="auto"/>
          </w:divBdr>
          <w:divsChild>
            <w:div w:id="2099397989">
              <w:marLeft w:val="0"/>
              <w:marRight w:val="0"/>
              <w:marTop w:val="0"/>
              <w:marBottom w:val="0"/>
              <w:divBdr>
                <w:top w:val="none" w:sz="0" w:space="0" w:color="auto"/>
                <w:left w:val="none" w:sz="0" w:space="0" w:color="auto"/>
                <w:bottom w:val="none" w:sz="0" w:space="0" w:color="auto"/>
                <w:right w:val="none" w:sz="0" w:space="0" w:color="auto"/>
              </w:divBdr>
              <w:divsChild>
                <w:div w:id="164980052">
                  <w:marLeft w:val="0"/>
                  <w:marRight w:val="0"/>
                  <w:marTop w:val="0"/>
                  <w:marBottom w:val="0"/>
                  <w:divBdr>
                    <w:top w:val="none" w:sz="0" w:space="0" w:color="auto"/>
                    <w:left w:val="none" w:sz="0" w:space="0" w:color="auto"/>
                    <w:bottom w:val="none" w:sz="0" w:space="0" w:color="auto"/>
                    <w:right w:val="none" w:sz="0" w:space="0" w:color="auto"/>
                  </w:divBdr>
                  <w:divsChild>
                    <w:div w:id="434709897">
                      <w:marLeft w:val="0"/>
                      <w:marRight w:val="0"/>
                      <w:marTop w:val="0"/>
                      <w:marBottom w:val="0"/>
                      <w:divBdr>
                        <w:top w:val="none" w:sz="0" w:space="0" w:color="auto"/>
                        <w:left w:val="none" w:sz="0" w:space="0" w:color="auto"/>
                        <w:bottom w:val="none" w:sz="0" w:space="0" w:color="auto"/>
                        <w:right w:val="none" w:sz="0" w:space="0" w:color="auto"/>
                      </w:divBdr>
                      <w:divsChild>
                        <w:div w:id="1422142207">
                          <w:marLeft w:val="0"/>
                          <w:marRight w:val="0"/>
                          <w:marTop w:val="0"/>
                          <w:marBottom w:val="0"/>
                          <w:divBdr>
                            <w:top w:val="none" w:sz="0" w:space="0" w:color="auto"/>
                            <w:left w:val="none" w:sz="0" w:space="0" w:color="auto"/>
                            <w:bottom w:val="none" w:sz="0" w:space="0" w:color="auto"/>
                            <w:right w:val="none" w:sz="0" w:space="0" w:color="auto"/>
                          </w:divBdr>
                          <w:divsChild>
                            <w:div w:id="1060783858">
                              <w:marLeft w:val="0"/>
                              <w:marRight w:val="0"/>
                              <w:marTop w:val="0"/>
                              <w:marBottom w:val="0"/>
                              <w:divBdr>
                                <w:top w:val="none" w:sz="0" w:space="0" w:color="auto"/>
                                <w:left w:val="none" w:sz="0" w:space="0" w:color="auto"/>
                                <w:bottom w:val="none" w:sz="0" w:space="0" w:color="auto"/>
                                <w:right w:val="none" w:sz="0" w:space="0" w:color="auto"/>
                              </w:divBdr>
                              <w:divsChild>
                                <w:div w:id="903031005">
                                  <w:marLeft w:val="0"/>
                                  <w:marRight w:val="0"/>
                                  <w:marTop w:val="0"/>
                                  <w:marBottom w:val="0"/>
                                  <w:divBdr>
                                    <w:top w:val="none" w:sz="0" w:space="0" w:color="auto"/>
                                    <w:left w:val="none" w:sz="0" w:space="0" w:color="auto"/>
                                    <w:bottom w:val="none" w:sz="0" w:space="0" w:color="auto"/>
                                    <w:right w:val="none" w:sz="0" w:space="0" w:color="auto"/>
                                  </w:divBdr>
                                  <w:divsChild>
                                    <w:div w:id="1786580274">
                                      <w:marLeft w:val="0"/>
                                      <w:marRight w:val="0"/>
                                      <w:marTop w:val="0"/>
                                      <w:marBottom w:val="0"/>
                                      <w:divBdr>
                                        <w:top w:val="none" w:sz="0" w:space="0" w:color="auto"/>
                                        <w:left w:val="none" w:sz="0" w:space="0" w:color="auto"/>
                                        <w:bottom w:val="none" w:sz="0" w:space="0" w:color="auto"/>
                                        <w:right w:val="none" w:sz="0" w:space="0" w:color="auto"/>
                                      </w:divBdr>
                                      <w:divsChild>
                                        <w:div w:id="125720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0154315">
      <w:bodyDiv w:val="1"/>
      <w:marLeft w:val="0"/>
      <w:marRight w:val="0"/>
      <w:marTop w:val="0"/>
      <w:marBottom w:val="0"/>
      <w:divBdr>
        <w:top w:val="none" w:sz="0" w:space="0" w:color="auto"/>
        <w:left w:val="none" w:sz="0" w:space="0" w:color="auto"/>
        <w:bottom w:val="none" w:sz="0" w:space="0" w:color="auto"/>
        <w:right w:val="none" w:sz="0" w:space="0" w:color="auto"/>
      </w:divBdr>
    </w:div>
    <w:div w:id="1271087834">
      <w:bodyDiv w:val="1"/>
      <w:marLeft w:val="0"/>
      <w:marRight w:val="0"/>
      <w:marTop w:val="0"/>
      <w:marBottom w:val="0"/>
      <w:divBdr>
        <w:top w:val="none" w:sz="0" w:space="0" w:color="auto"/>
        <w:left w:val="none" w:sz="0" w:space="0" w:color="auto"/>
        <w:bottom w:val="none" w:sz="0" w:space="0" w:color="auto"/>
        <w:right w:val="none" w:sz="0" w:space="0" w:color="auto"/>
      </w:divBdr>
    </w:div>
    <w:div w:id="1395738941">
      <w:bodyDiv w:val="1"/>
      <w:marLeft w:val="0"/>
      <w:marRight w:val="0"/>
      <w:marTop w:val="0"/>
      <w:marBottom w:val="0"/>
      <w:divBdr>
        <w:top w:val="none" w:sz="0" w:space="0" w:color="auto"/>
        <w:left w:val="none" w:sz="0" w:space="0" w:color="auto"/>
        <w:bottom w:val="none" w:sz="0" w:space="0" w:color="auto"/>
        <w:right w:val="none" w:sz="0" w:space="0" w:color="auto"/>
      </w:divBdr>
      <w:divsChild>
        <w:div w:id="1239049262">
          <w:marLeft w:val="0"/>
          <w:marRight w:val="0"/>
          <w:marTop w:val="0"/>
          <w:marBottom w:val="0"/>
          <w:divBdr>
            <w:top w:val="none" w:sz="0" w:space="0" w:color="auto"/>
            <w:left w:val="none" w:sz="0" w:space="0" w:color="auto"/>
            <w:bottom w:val="none" w:sz="0" w:space="0" w:color="auto"/>
            <w:right w:val="none" w:sz="0" w:space="0" w:color="auto"/>
          </w:divBdr>
          <w:divsChild>
            <w:div w:id="651179521">
              <w:marLeft w:val="0"/>
              <w:marRight w:val="0"/>
              <w:marTop w:val="0"/>
              <w:marBottom w:val="0"/>
              <w:divBdr>
                <w:top w:val="none" w:sz="0" w:space="0" w:color="auto"/>
                <w:left w:val="none" w:sz="0" w:space="0" w:color="auto"/>
                <w:bottom w:val="none" w:sz="0" w:space="0" w:color="auto"/>
                <w:right w:val="none" w:sz="0" w:space="0" w:color="auto"/>
              </w:divBdr>
              <w:divsChild>
                <w:div w:id="769156865">
                  <w:marLeft w:val="0"/>
                  <w:marRight w:val="0"/>
                  <w:marTop w:val="0"/>
                  <w:marBottom w:val="0"/>
                  <w:divBdr>
                    <w:top w:val="none" w:sz="0" w:space="0" w:color="auto"/>
                    <w:left w:val="none" w:sz="0" w:space="0" w:color="auto"/>
                    <w:bottom w:val="none" w:sz="0" w:space="0" w:color="auto"/>
                    <w:right w:val="none" w:sz="0" w:space="0" w:color="auto"/>
                  </w:divBdr>
                  <w:divsChild>
                    <w:div w:id="2036929742">
                      <w:marLeft w:val="0"/>
                      <w:marRight w:val="0"/>
                      <w:marTop w:val="0"/>
                      <w:marBottom w:val="0"/>
                      <w:divBdr>
                        <w:top w:val="none" w:sz="0" w:space="0" w:color="auto"/>
                        <w:left w:val="none" w:sz="0" w:space="0" w:color="auto"/>
                        <w:bottom w:val="none" w:sz="0" w:space="0" w:color="auto"/>
                        <w:right w:val="none" w:sz="0" w:space="0" w:color="auto"/>
                      </w:divBdr>
                      <w:divsChild>
                        <w:div w:id="2013295133">
                          <w:marLeft w:val="0"/>
                          <w:marRight w:val="0"/>
                          <w:marTop w:val="0"/>
                          <w:marBottom w:val="0"/>
                          <w:divBdr>
                            <w:top w:val="none" w:sz="0" w:space="0" w:color="auto"/>
                            <w:left w:val="none" w:sz="0" w:space="0" w:color="auto"/>
                            <w:bottom w:val="none" w:sz="0" w:space="0" w:color="auto"/>
                            <w:right w:val="none" w:sz="0" w:space="0" w:color="auto"/>
                          </w:divBdr>
                          <w:divsChild>
                            <w:div w:id="342782113">
                              <w:marLeft w:val="0"/>
                              <w:marRight w:val="0"/>
                              <w:marTop w:val="0"/>
                              <w:marBottom w:val="0"/>
                              <w:divBdr>
                                <w:top w:val="none" w:sz="0" w:space="0" w:color="auto"/>
                                <w:left w:val="none" w:sz="0" w:space="0" w:color="auto"/>
                                <w:bottom w:val="none" w:sz="0" w:space="0" w:color="auto"/>
                                <w:right w:val="none" w:sz="0" w:space="0" w:color="auto"/>
                              </w:divBdr>
                              <w:divsChild>
                                <w:div w:id="339621018">
                                  <w:marLeft w:val="0"/>
                                  <w:marRight w:val="0"/>
                                  <w:marTop w:val="0"/>
                                  <w:marBottom w:val="0"/>
                                  <w:divBdr>
                                    <w:top w:val="none" w:sz="0" w:space="0" w:color="auto"/>
                                    <w:left w:val="none" w:sz="0" w:space="0" w:color="auto"/>
                                    <w:bottom w:val="none" w:sz="0" w:space="0" w:color="auto"/>
                                    <w:right w:val="none" w:sz="0" w:space="0" w:color="auto"/>
                                  </w:divBdr>
                                  <w:divsChild>
                                    <w:div w:id="207451568">
                                      <w:marLeft w:val="0"/>
                                      <w:marRight w:val="0"/>
                                      <w:marTop w:val="0"/>
                                      <w:marBottom w:val="0"/>
                                      <w:divBdr>
                                        <w:top w:val="none" w:sz="0" w:space="0" w:color="auto"/>
                                        <w:left w:val="none" w:sz="0" w:space="0" w:color="auto"/>
                                        <w:bottom w:val="none" w:sz="0" w:space="0" w:color="auto"/>
                                        <w:right w:val="none" w:sz="0" w:space="0" w:color="auto"/>
                                      </w:divBdr>
                                      <w:divsChild>
                                        <w:div w:id="25101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2097218">
      <w:bodyDiv w:val="1"/>
      <w:marLeft w:val="0"/>
      <w:marRight w:val="0"/>
      <w:marTop w:val="0"/>
      <w:marBottom w:val="0"/>
      <w:divBdr>
        <w:top w:val="none" w:sz="0" w:space="0" w:color="auto"/>
        <w:left w:val="none" w:sz="0" w:space="0" w:color="auto"/>
        <w:bottom w:val="none" w:sz="0" w:space="0" w:color="auto"/>
        <w:right w:val="none" w:sz="0" w:space="0" w:color="auto"/>
      </w:divBdr>
    </w:div>
    <w:div w:id="1438940650">
      <w:bodyDiv w:val="1"/>
      <w:marLeft w:val="0"/>
      <w:marRight w:val="0"/>
      <w:marTop w:val="0"/>
      <w:marBottom w:val="0"/>
      <w:divBdr>
        <w:top w:val="none" w:sz="0" w:space="0" w:color="auto"/>
        <w:left w:val="none" w:sz="0" w:space="0" w:color="auto"/>
        <w:bottom w:val="none" w:sz="0" w:space="0" w:color="auto"/>
        <w:right w:val="none" w:sz="0" w:space="0" w:color="auto"/>
      </w:divBdr>
    </w:div>
    <w:div w:id="1453817438">
      <w:bodyDiv w:val="1"/>
      <w:marLeft w:val="0"/>
      <w:marRight w:val="0"/>
      <w:marTop w:val="0"/>
      <w:marBottom w:val="0"/>
      <w:divBdr>
        <w:top w:val="none" w:sz="0" w:space="0" w:color="auto"/>
        <w:left w:val="none" w:sz="0" w:space="0" w:color="auto"/>
        <w:bottom w:val="none" w:sz="0" w:space="0" w:color="auto"/>
        <w:right w:val="none" w:sz="0" w:space="0" w:color="auto"/>
      </w:divBdr>
    </w:div>
    <w:div w:id="1774009632">
      <w:bodyDiv w:val="1"/>
      <w:marLeft w:val="0"/>
      <w:marRight w:val="0"/>
      <w:marTop w:val="0"/>
      <w:marBottom w:val="0"/>
      <w:divBdr>
        <w:top w:val="none" w:sz="0" w:space="0" w:color="auto"/>
        <w:left w:val="none" w:sz="0" w:space="0" w:color="auto"/>
        <w:bottom w:val="none" w:sz="0" w:space="0" w:color="auto"/>
        <w:right w:val="none" w:sz="0" w:space="0" w:color="auto"/>
      </w:divBdr>
    </w:div>
    <w:div w:id="1790317883">
      <w:bodyDiv w:val="1"/>
      <w:marLeft w:val="0"/>
      <w:marRight w:val="0"/>
      <w:marTop w:val="0"/>
      <w:marBottom w:val="0"/>
      <w:divBdr>
        <w:top w:val="none" w:sz="0" w:space="0" w:color="auto"/>
        <w:left w:val="none" w:sz="0" w:space="0" w:color="auto"/>
        <w:bottom w:val="none" w:sz="0" w:space="0" w:color="auto"/>
        <w:right w:val="none" w:sz="0" w:space="0" w:color="auto"/>
      </w:divBdr>
    </w:div>
    <w:div w:id="1897547903">
      <w:bodyDiv w:val="1"/>
      <w:marLeft w:val="0"/>
      <w:marRight w:val="0"/>
      <w:marTop w:val="0"/>
      <w:marBottom w:val="0"/>
      <w:divBdr>
        <w:top w:val="none" w:sz="0" w:space="0" w:color="auto"/>
        <w:left w:val="none" w:sz="0" w:space="0" w:color="auto"/>
        <w:bottom w:val="none" w:sz="0" w:space="0" w:color="auto"/>
        <w:right w:val="none" w:sz="0" w:space="0" w:color="auto"/>
      </w:divBdr>
    </w:div>
    <w:div w:id="1898397478">
      <w:bodyDiv w:val="1"/>
      <w:marLeft w:val="0"/>
      <w:marRight w:val="0"/>
      <w:marTop w:val="0"/>
      <w:marBottom w:val="0"/>
      <w:divBdr>
        <w:top w:val="none" w:sz="0" w:space="0" w:color="auto"/>
        <w:left w:val="none" w:sz="0" w:space="0" w:color="auto"/>
        <w:bottom w:val="none" w:sz="0" w:space="0" w:color="auto"/>
        <w:right w:val="none" w:sz="0" w:space="0" w:color="auto"/>
      </w:divBdr>
    </w:div>
    <w:div w:id="1934125164">
      <w:bodyDiv w:val="1"/>
      <w:marLeft w:val="0"/>
      <w:marRight w:val="0"/>
      <w:marTop w:val="0"/>
      <w:marBottom w:val="0"/>
      <w:divBdr>
        <w:top w:val="none" w:sz="0" w:space="0" w:color="auto"/>
        <w:left w:val="none" w:sz="0" w:space="0" w:color="auto"/>
        <w:bottom w:val="none" w:sz="0" w:space="0" w:color="auto"/>
        <w:right w:val="none" w:sz="0" w:space="0" w:color="auto"/>
      </w:divBdr>
    </w:div>
    <w:div w:id="2031831743">
      <w:bodyDiv w:val="1"/>
      <w:marLeft w:val="0"/>
      <w:marRight w:val="0"/>
      <w:marTop w:val="0"/>
      <w:marBottom w:val="0"/>
      <w:divBdr>
        <w:top w:val="none" w:sz="0" w:space="0" w:color="auto"/>
        <w:left w:val="none" w:sz="0" w:space="0" w:color="auto"/>
        <w:bottom w:val="none" w:sz="0" w:space="0" w:color="auto"/>
        <w:right w:val="none" w:sz="0" w:space="0" w:color="auto"/>
      </w:divBdr>
    </w:div>
    <w:div w:id="2095086139">
      <w:bodyDiv w:val="1"/>
      <w:marLeft w:val="0"/>
      <w:marRight w:val="0"/>
      <w:marTop w:val="0"/>
      <w:marBottom w:val="0"/>
      <w:divBdr>
        <w:top w:val="none" w:sz="0" w:space="0" w:color="auto"/>
        <w:left w:val="none" w:sz="0" w:space="0" w:color="auto"/>
        <w:bottom w:val="none" w:sz="0" w:space="0" w:color="auto"/>
        <w:right w:val="none" w:sz="0" w:space="0" w:color="auto"/>
      </w:divBdr>
    </w:div>
    <w:div w:id="211466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395CB-DB52-4EE3-B152-76502E31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1366</Words>
  <Characters>8242</Characters>
  <Application>Microsoft Office Word</Application>
  <DocSecurity>0</DocSecurity>
  <Lines>206</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Gaitan</dc:creator>
  <cp:keywords/>
  <dc:description/>
  <cp:lastModifiedBy>Hugo Palacios</cp:lastModifiedBy>
  <cp:revision>3</cp:revision>
  <cp:lastPrinted>2021-01-20T21:29:00Z</cp:lastPrinted>
  <dcterms:created xsi:type="dcterms:W3CDTF">2026-07-24T15:07:00Z</dcterms:created>
  <dcterms:modified xsi:type="dcterms:W3CDTF">2026-07-27T20:29:00Z</dcterms:modified>
</cp:coreProperties>
</file>